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727C0" w14:textId="77777777" w:rsidR="002760D6" w:rsidRDefault="00F31502">
      <w:bookmarkStart w:id="0" w:name="LW_BM_COVERPAGE"/>
      <w:r>
        <w:rPr>
          <w:noProof/>
          <w:lang w:val="it-IT" w:eastAsia="it-IT"/>
        </w:rPr>
        <w:pict w14:anchorId="34919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53pt;margin-top:-40.3pt;width:559.75pt;height:101.75pt;z-index:5">
            <v:imagedata r:id="rId11" o:title=""/>
          </v:shape>
        </w:pict>
      </w:r>
      <w:r w:rsidR="002760D6">
        <w:rPr>
          <w:noProof/>
        </w:rPr>
        <w:pict w14:anchorId="5107D3DE">
          <v:shapetype id="_x0000_t202" coordsize="21600,21600" o:spt="202" path="m,l,21600r21600,l21600,xe">
            <v:stroke joinstyle="miter"/>
            <v:path gradientshapeok="t" o:connecttype="rect"/>
          </v:shapetype>
          <v:shape id="Casella di testo 152" o:spid="_x0000_s2058" type="#_x0000_t202" style="position:absolute;margin-left:17.55pt;margin-top:688.8pt;width:560.2pt;height:77.45pt;z-index:2;visibility:visible;mso-width-percent:941;mso-height-percent:92;mso-position-horizontal-relative:page;mso-position-vertical-relative:page;mso-width-percent:941;mso-height-percent:92;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" filled="f" stroked="f" strokeweight=".5pt">
            <v:textbox inset="126pt,0,54pt,0">
              <w:txbxContent>
                <w:p w14:paraId="7A78D017" w14:textId="77777777" w:rsidR="002760D6" w:rsidRPr="000A1356" w:rsidRDefault="002760D6" w:rsidP="000A1356">
                  <w:pPr>
                    <w:pStyle w:val="Nessunaspaziatura"/>
                    <w:jc w:val="right"/>
                    <w:rPr>
                      <w:color w:val="595959"/>
                      <w:sz w:val="28"/>
                      <w:szCs w:val="28"/>
                    </w:rPr>
                  </w:pPr>
                  <w:r>
                    <w:rPr>
                      <w:sz w:val="28"/>
                      <w:szCs w:val="28"/>
                    </w:rPr>
                    <w:t>Team Privacy</w:t>
                  </w:r>
                </w:p>
              </w:txbxContent>
            </v:textbox>
            <w10:wrap type="square" anchorx="page" anchory="page"/>
          </v:shape>
        </w:pict>
      </w:r>
      <w:r w:rsidR="002760D6">
        <w:rPr>
          <w:noProof/>
        </w:rPr>
        <w:pict w14:anchorId="3457DF57">
          <v:shape id="Casella di testo 153" o:spid="_x0000_s2057" type="#_x0000_t202" style="position:absolute;margin-left:17.55pt;margin-top:589.35pt;width:560.2pt;height:53.7pt;z-index:3;visibility:visible;mso-width-percent:941;mso-height-percent:100;mso-position-horizontal-relative:page;mso-position-vertical-relative:page;mso-width-percent:941;mso-height-percen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" filled="f" stroked="f" strokeweight=".5pt">
            <v:textbox style="mso-fit-shape-to-text:t" inset="126pt,0,54pt,0">
              <w:txbxContent>
                <w:p w14:paraId="68C6D879" w14:textId="77777777" w:rsidR="002760D6" w:rsidRPr="002760D6" w:rsidRDefault="00F31502">
                  <w:pPr>
                    <w:pStyle w:val="Nessunaspaziatura"/>
                    <w:jc w:val="right"/>
                    <w:rPr>
                      <w:color w:val="5B9BD5"/>
                      <w:sz w:val="28"/>
                      <w:szCs w:val="28"/>
                    </w:rPr>
                  </w:pPr>
                  <w:r>
                    <w:rPr>
                      <w:color w:val="5B9BD5"/>
                      <w:sz w:val="28"/>
                      <w:szCs w:val="28"/>
                    </w:rPr>
                    <w:t>Abstract</w:t>
                  </w:r>
                </w:p>
                <w:p w14:paraId="2F6B900C" w14:textId="77777777" w:rsidR="002760D6" w:rsidRPr="002760D6" w:rsidRDefault="00F31502">
                  <w:pPr>
                    <w:pStyle w:val="Nessunaspaziatura"/>
                    <w:jc w:val="right"/>
                    <w:rPr>
                      <w:color w:val="595959"/>
                      <w:sz w:val="20"/>
                      <w:szCs w:val="20"/>
                    </w:rPr>
                  </w:pPr>
                  <w:r w:rsidRPr="00F31502">
                    <w:rPr>
                      <w:color w:val="595959"/>
                      <w:sz w:val="20"/>
                      <w:szCs w:val="20"/>
                    </w:rPr>
                    <w:t>STANDARD CONTRACTUAL CLAUSES FOR THE TRASFER OF PERSONALDATA TO THIRD COUNTRIES PURSUANT</w:t>
                  </w:r>
                  <w:r>
                    <w:rPr>
                      <w:color w:val="595959"/>
                      <w:sz w:val="20"/>
                      <w:szCs w:val="20"/>
                    </w:rPr>
                    <w:t xml:space="preserve"> TO REGULATION (eu) 2016/679 OF THE EUROPEAN PARLIAMENT AND OF THE COUNCIL</w:t>
                  </w:r>
                </w:p>
              </w:txbxContent>
            </v:textbox>
            <w10:wrap type="square" anchorx="page" anchory="page"/>
          </v:shape>
        </w:pict>
      </w:r>
    </w:p>
    <w:p w14:paraId="046CACEC" w14:textId="77777777" w:rsidR="0060107B" w:rsidRPr="0060107B" w:rsidRDefault="0060107B" w:rsidP="0060107B">
      <w:pPr>
        <w:pStyle w:val="Nessunaspaziatura"/>
        <w:spacing w:before="40" w:after="40"/>
        <w:rPr>
          <w:rFonts w:eastAsia="Calibri"/>
          <w:caps/>
          <w:color w:val="1F3864"/>
          <w:sz w:val="28"/>
          <w:szCs w:val="28"/>
          <w:lang w:eastAsia="en-US"/>
        </w:rPr>
      </w:pPr>
      <w:r w:rsidRPr="0060107B">
        <w:rPr>
          <w:caps/>
          <w:color w:val="1F3864"/>
          <w:sz w:val="28"/>
          <w:szCs w:val="28"/>
        </w:rPr>
        <w:t xml:space="preserve">Trasferimento da Titolare del Trattamento a </w:t>
      </w:r>
      <w:r w:rsidRPr="0060107B">
        <w:t>Responsabile del Trattamento</w:t>
      </w:r>
    </w:p>
    <w:p w14:paraId="583287BD" w14:textId="77777777" w:rsidR="00787FCE" w:rsidRDefault="0060107B" w:rsidP="0060107B">
      <w:pPr>
        <w:rPr>
          <w:noProof/>
        </w:rPr>
      </w:pPr>
      <w:r>
        <w:rPr>
          <w:noProof/>
        </w:rPr>
        <w:pict w14:anchorId="2A1FD177">
          <v:shape id="Casella di testo 154" o:spid="_x0000_s2056" type="#_x0000_t202" style="position:absolute;margin-left:17.85pt;margin-top:252.55pt;width:560pt;height:315.25pt;z-index:1;visibility:visible;mso-width-percent:941;mso-position-horizontal-relative:page;mso-position-vertical-relative:page;mso-width-percent:94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" filled="f" stroked="f" strokeweight=".5pt">
            <v:textbox inset="126pt,0,54pt,0">
              <w:txbxContent>
                <w:p w14:paraId="2C9604D4" w14:textId="77777777" w:rsidR="002760D6" w:rsidRDefault="002760D6">
                  <w:pPr>
                    <w:jc w:val="right"/>
                    <w:rPr>
                      <w:caps/>
                      <w:sz w:val="64"/>
                      <w:szCs w:val="64"/>
                    </w:rPr>
                  </w:pPr>
                  <w:r>
                    <w:rPr>
                      <w:caps/>
                      <w:sz w:val="64"/>
                      <w:szCs w:val="64"/>
                    </w:rPr>
                    <w:t>Standard Contractual Clauses for the trasfer of personal</w:t>
                  </w:r>
                  <w:r w:rsidR="0060107B">
                    <w:rPr>
                      <w:caps/>
                      <w:sz w:val="64"/>
                      <w:szCs w:val="64"/>
                    </w:rPr>
                    <w:t xml:space="preserve"> </w:t>
                  </w:r>
                  <w:r>
                    <w:rPr>
                      <w:caps/>
                      <w:sz w:val="64"/>
                      <w:szCs w:val="64"/>
                    </w:rPr>
                    <w:t xml:space="preserve">data to third countries </w:t>
                  </w:r>
                </w:p>
                <w:p w14:paraId="1243FB08" w14:textId="77777777" w:rsidR="0060107B" w:rsidRPr="0060107B" w:rsidRDefault="0060107B" w:rsidP="0060107B">
                  <w:pPr>
                    <w:jc w:val="right"/>
                    <w:rPr>
                      <w:color w:val="2E74B5"/>
                      <w:sz w:val="44"/>
                      <w:szCs w:val="64"/>
                    </w:rPr>
                  </w:pPr>
                  <w:r w:rsidRPr="0060107B">
                    <w:rPr>
                      <w:rFonts w:eastAsia="Times New Roman"/>
                      <w:caps/>
                      <w:color w:val="2E74B5"/>
                      <w:sz w:val="36"/>
                      <w:szCs w:val="28"/>
                      <w:lang w:val="it-IT" w:eastAsia="it-IT"/>
                    </w:rPr>
                    <w:t>TRANSFER FROM CONTROLLER TO PROCESSOR</w:t>
                  </w:r>
                </w:p>
              </w:txbxContent>
            </v:textbox>
            <w10:wrap type="square" anchorx="page" anchory="page"/>
          </v:shape>
        </w:pict>
      </w:r>
      <w:r>
        <w:rPr>
          <w:caps/>
          <w:sz w:val="64"/>
          <w:szCs w:val="64"/>
        </w:rPr>
        <w:t xml:space="preserve"> </w:t>
      </w:r>
      <w:r w:rsidR="002760D6">
        <w:rPr>
          <w:caps/>
          <w:sz w:val="64"/>
          <w:szCs w:val="64"/>
        </w:rPr>
        <w:br w:type="page"/>
      </w:r>
    </w:p>
    <w:bookmarkEnd w:id="0"/>
    <w:p w14:paraId="258E4BBB" w14:textId="77777777" w:rsidR="00787FCE" w:rsidRDefault="00787FCE">
      <w:pPr>
        <w:rPr>
          <w:noProof/>
        </w:rPr>
        <w:sectPr w:rsidR="00787FCE" w:rsidSect="002760D6">
          <w:footerReference w:type="default" r:id="rId12"/>
          <w:pgSz w:w="11906" w:h="16838"/>
          <w:pgMar w:top="1134" w:right="1417" w:bottom="1134" w:left="1417" w:header="709" w:footer="709" w:gutter="0"/>
          <w:pgNumType w:start="0"/>
          <w:cols w:space="720"/>
          <w:titlePg/>
          <w:docGrid w:linePitch="360"/>
        </w:sectPr>
      </w:pPr>
    </w:p>
    <w:p w14:paraId="5EFC1841" w14:textId="77777777" w:rsidR="00787FCE" w:rsidRDefault="007C35F4">
      <w:pPr>
        <w:spacing w:before="120" w:after="120" w:line="240" w:lineRule="auto"/>
        <w:jc w:val="center"/>
        <w:rPr>
          <w:rFonts w:ascii="Times New Roman" w:hAnsi="Times New Roman"/>
          <w:b/>
          <w:noProof/>
          <w:sz w:val="24"/>
          <w:u w:val="single"/>
        </w:rPr>
      </w:pPr>
      <w:r>
        <w:rPr>
          <w:rFonts w:ascii="Times New Roman" w:hAnsi="Times New Roman"/>
          <w:b/>
          <w:noProof/>
          <w:sz w:val="24"/>
          <w:u w:val="single"/>
        </w:rPr>
        <w:lastRenderedPageBreak/>
        <w:t xml:space="preserve">ANNEX </w:t>
      </w:r>
    </w:p>
    <w:p w14:paraId="083B4EDB" w14:textId="77777777" w:rsidR="00787FCE" w:rsidRDefault="00787FCE">
      <w:pPr>
        <w:spacing w:before="120" w:after="120" w:line="240" w:lineRule="auto"/>
        <w:jc w:val="center"/>
        <w:rPr>
          <w:rFonts w:ascii="Times New Roman" w:hAnsi="Times New Roman"/>
          <w:noProof/>
          <w:sz w:val="24"/>
        </w:rPr>
      </w:pPr>
    </w:p>
    <w:p w14:paraId="664CE7D8" w14:textId="77777777" w:rsidR="00787FCE" w:rsidRDefault="007C35F4">
      <w:pPr>
        <w:spacing w:before="120" w:after="120" w:line="240" w:lineRule="auto"/>
        <w:jc w:val="center"/>
        <w:rPr>
          <w:rFonts w:ascii="Times New Roman" w:hAnsi="Times New Roman"/>
          <w:b/>
          <w:noProof/>
          <w:sz w:val="24"/>
        </w:rPr>
      </w:pPr>
      <w:r>
        <w:rPr>
          <w:rFonts w:ascii="Times New Roman" w:hAnsi="Times New Roman"/>
          <w:b/>
          <w:noProof/>
          <w:sz w:val="24"/>
        </w:rPr>
        <w:t>STANDARD CONTRACTUAL CLAUSES</w:t>
      </w:r>
    </w:p>
    <w:p w14:paraId="2F6743D4" w14:textId="77777777" w:rsidR="00787FCE" w:rsidRDefault="00787FCE">
      <w:pPr>
        <w:spacing w:before="120" w:after="120" w:line="240" w:lineRule="auto"/>
        <w:jc w:val="center"/>
        <w:rPr>
          <w:rFonts w:ascii="Times New Roman" w:hAnsi="Times New Roman"/>
          <w:b/>
          <w:noProof/>
          <w:sz w:val="24"/>
        </w:rPr>
      </w:pPr>
    </w:p>
    <w:p w14:paraId="27A1E73F" w14:textId="77777777" w:rsidR="00787FCE" w:rsidRDefault="007C35F4">
      <w:pPr>
        <w:spacing w:before="120" w:after="120" w:line="240" w:lineRule="auto"/>
        <w:jc w:val="center"/>
        <w:rPr>
          <w:rFonts w:ascii="Times New Roman" w:hAnsi="Times New Roman"/>
          <w:b/>
          <w:noProof/>
          <w:sz w:val="24"/>
          <w:u w:val="single"/>
        </w:rPr>
      </w:pPr>
      <w:r>
        <w:rPr>
          <w:rFonts w:ascii="Times New Roman" w:hAnsi="Times New Roman"/>
          <w:b/>
          <w:noProof/>
          <w:sz w:val="24"/>
          <w:u w:val="single"/>
        </w:rPr>
        <w:t>SECTION I</w:t>
      </w:r>
    </w:p>
    <w:p w14:paraId="09311D74"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w:t>
      </w:r>
      <w:r w:rsidR="002760D6">
        <w:rPr>
          <w:noProof/>
        </w:rPr>
        <w:pict w14:anchorId="21B3994D">
          <v:shape id="Immagine 1" o:spid="_x0000_s2062" type="#_x0000_t75" alt="piè%20di%20pag_ra" style="position:absolute;left:0;text-align:left;margin-left:225.2pt;margin-top:771.3pt;width:169.9pt;height:36.95pt;z-index:4;visibility:visible;mso-position-horizontal-relative:text;mso-position-vertical-relative:text">
            <v:imagedata r:id="rId13" o:title="piè%20di%20pag_ra"/>
          </v:shape>
        </w:pict>
      </w:r>
      <w:r>
        <w:rPr>
          <w:rFonts w:ascii="Times New Roman" w:hAnsi="Times New Roman"/>
          <w:i/>
          <w:noProof/>
          <w:sz w:val="24"/>
        </w:rPr>
        <w:t>ause 1</w:t>
      </w:r>
    </w:p>
    <w:p w14:paraId="3C439C25" w14:textId="77777777" w:rsidR="00787FCE" w:rsidRDefault="007C35F4">
      <w:pPr>
        <w:keepNext/>
        <w:spacing w:before="120" w:after="120" w:line="240" w:lineRule="auto"/>
        <w:jc w:val="center"/>
        <w:rPr>
          <w:rFonts w:ascii="Times New Roman" w:hAnsi="Times New Roman"/>
          <w:b/>
          <w:i/>
          <w:noProof/>
          <w:sz w:val="24"/>
        </w:rPr>
      </w:pPr>
      <w:r>
        <w:rPr>
          <w:rFonts w:ascii="Times New Roman" w:hAnsi="Times New Roman"/>
          <w:b/>
          <w:i/>
          <w:noProof/>
          <w:sz w:val="24"/>
        </w:rPr>
        <w:t xml:space="preserve">Purpose and scope </w:t>
      </w:r>
    </w:p>
    <w:p w14:paraId="08CA0957" w14:textId="77777777" w:rsidR="00787FCE" w:rsidRDefault="007C35F4">
      <w:pPr>
        <w:numPr>
          <w:ilvl w:val="1"/>
          <w:numId w:val="53"/>
        </w:numPr>
        <w:spacing w:before="120" w:after="120" w:line="240" w:lineRule="auto"/>
        <w:jc w:val="both"/>
        <w:rPr>
          <w:rFonts w:ascii="Times New Roman" w:hAnsi="Times New Roman"/>
          <w:noProof/>
          <w:sz w:val="24"/>
        </w:rPr>
      </w:pPr>
      <w:r>
        <w:rPr>
          <w:rFonts w:ascii="Times New Roman" w:hAnsi="Times New Roman"/>
          <w:noProof/>
          <w:sz w:val="24"/>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Pr>
          <w:rFonts w:ascii="Times New Roman" w:hAnsi="Times New Roman"/>
          <w:noProof/>
          <w:sz w:val="24"/>
          <w:vertAlign w:val="superscript"/>
        </w:rPr>
        <w:footnoteReference w:id="1"/>
      </w:r>
      <w:r>
        <w:rPr>
          <w:rFonts w:ascii="Times New Roman" w:hAnsi="Times New Roman"/>
          <w:noProof/>
          <w:sz w:val="24"/>
        </w:rPr>
        <w:t xml:space="preserve"> for the transfer of personal data to a third country.</w:t>
      </w:r>
    </w:p>
    <w:p w14:paraId="49D51689"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w:t>
      </w:r>
    </w:p>
    <w:p w14:paraId="0ECE6E00"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natural or legal person(s), public authority/ies, agency/ies or other body/ies (hereinafter “entity/ies”) transferring the personal data, as listed in Annex I.A. (hereinafter each “data exporter”), and</w:t>
      </w:r>
    </w:p>
    <w:p w14:paraId="205E9C84"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entity/ies in a third country receiving the personal data from the data exporter, directly or indirectly via another entity also Party to these Clauses, as listed in Annex I.A. (hereinafter each “data importer”)</w:t>
      </w:r>
    </w:p>
    <w:p w14:paraId="68A7355D" w14:textId="77777777" w:rsidR="00787FCE" w:rsidRDefault="007C35F4">
      <w:pPr>
        <w:numPr>
          <w:ilvl w:val="1"/>
          <w:numId w:val="0"/>
        </w:numPr>
        <w:spacing w:before="120" w:after="120" w:line="240" w:lineRule="auto"/>
        <w:ind w:left="850"/>
        <w:jc w:val="both"/>
        <w:rPr>
          <w:rFonts w:ascii="Times New Roman" w:hAnsi="Times New Roman"/>
          <w:noProof/>
          <w:sz w:val="24"/>
        </w:rPr>
      </w:pPr>
      <w:r>
        <w:rPr>
          <w:rFonts w:ascii="Times New Roman" w:hAnsi="Times New Roman"/>
          <w:noProof/>
          <w:sz w:val="24"/>
        </w:rPr>
        <w:t xml:space="preserve">have agreed to these standard contractual clauses (hereinafter: “Clauses”). </w:t>
      </w:r>
    </w:p>
    <w:p w14:paraId="71B72093"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These Clauses apply with respect to the transfer of personal data as specified in Annex I.B. </w:t>
      </w:r>
    </w:p>
    <w:p w14:paraId="1969A7E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Appendix to these Clauses containing the Annexes referred to therein forms an integral part of these Clauses.</w:t>
      </w:r>
    </w:p>
    <w:p w14:paraId="055B368B"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lastRenderedPageBreak/>
        <w:t>Clause 2</w:t>
      </w:r>
    </w:p>
    <w:p w14:paraId="17481C02" w14:textId="77777777" w:rsidR="00787FCE" w:rsidRDefault="007C35F4">
      <w:pPr>
        <w:keepNext/>
        <w:spacing w:before="120" w:after="120" w:line="240" w:lineRule="auto"/>
        <w:jc w:val="center"/>
        <w:rPr>
          <w:rFonts w:ascii="Times New Roman" w:hAnsi="Times New Roman"/>
          <w:b/>
          <w:i/>
          <w:noProof/>
          <w:sz w:val="24"/>
        </w:rPr>
      </w:pPr>
      <w:r>
        <w:rPr>
          <w:rFonts w:ascii="Times New Roman" w:hAnsi="Times New Roman"/>
          <w:b/>
          <w:i/>
          <w:noProof/>
          <w:sz w:val="24"/>
        </w:rPr>
        <w:t>Effect and invariability of the Clauses</w:t>
      </w:r>
    </w:p>
    <w:p w14:paraId="44674454" w14:textId="77777777" w:rsidR="00787FCE" w:rsidRDefault="007C35F4">
      <w:pPr>
        <w:numPr>
          <w:ilvl w:val="5"/>
          <w:numId w:val="46"/>
        </w:numPr>
        <w:tabs>
          <w:tab w:val="num" w:pos="851"/>
        </w:tabs>
        <w:spacing w:before="120" w:after="120" w:line="240" w:lineRule="auto"/>
        <w:ind w:left="851" w:hanging="851"/>
        <w:jc w:val="both"/>
        <w:rPr>
          <w:rFonts w:ascii="Times New Roman" w:hAnsi="Times New Roman"/>
          <w:noProof/>
          <w:sz w:val="24"/>
        </w:rPr>
      </w:pPr>
      <w:r>
        <w:rPr>
          <w:rFonts w:ascii="Times New Roman" w:hAnsi="Times New Roman"/>
          <w:noProof/>
          <w:sz w:val="24"/>
        </w:rPr>
        <w:t xml:space="preserve">These Clauses set out appropriate safeguards, including enforceable data subject rights and effective legal remedies, pursuant to Article 46(1) and Article 46 (2)(c)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w:t>
      </w:r>
      <w:r>
        <w:rPr>
          <w:rFonts w:ascii="Times New Roman" w:hAnsi="Times New Roman"/>
          <w:noProof/>
          <w:sz w:val="24"/>
          <w:szCs w:val="24"/>
        </w:rPr>
        <w:t>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r>
        <w:rPr>
          <w:rFonts w:ascii="Times New Roman" w:hAnsi="Times New Roman"/>
          <w:noProof/>
          <w:sz w:val="24"/>
        </w:rPr>
        <w:t xml:space="preserve">. </w:t>
      </w:r>
    </w:p>
    <w:p w14:paraId="48B52EEB" w14:textId="77777777" w:rsidR="00787FCE" w:rsidRDefault="007C35F4">
      <w:pPr>
        <w:numPr>
          <w:ilvl w:val="5"/>
          <w:numId w:val="46"/>
        </w:numPr>
        <w:tabs>
          <w:tab w:val="num" w:pos="851"/>
        </w:tabs>
        <w:spacing w:before="120" w:after="120" w:line="240" w:lineRule="auto"/>
        <w:ind w:left="851" w:hanging="851"/>
        <w:jc w:val="both"/>
        <w:rPr>
          <w:rFonts w:ascii="Times New Roman" w:hAnsi="Times New Roman"/>
          <w:noProof/>
          <w:sz w:val="24"/>
        </w:rPr>
      </w:pPr>
      <w:r>
        <w:rPr>
          <w:rFonts w:ascii="Times New Roman" w:hAnsi="Times New Roman"/>
          <w:noProof/>
          <w:sz w:val="24"/>
        </w:rPr>
        <w:t>These Clauses are without prejudice to obligations to which the data exporter is subject by virtue of Regulation (EU) 2016/679.</w:t>
      </w:r>
    </w:p>
    <w:p w14:paraId="69D5D67E"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3</w:t>
      </w:r>
    </w:p>
    <w:p w14:paraId="4B9299E8" w14:textId="77777777" w:rsidR="00787FCE" w:rsidRDefault="007C35F4">
      <w:pPr>
        <w:keepNext/>
        <w:spacing w:before="120" w:after="120" w:line="240" w:lineRule="auto"/>
        <w:jc w:val="center"/>
        <w:rPr>
          <w:rFonts w:ascii="Times New Roman" w:hAnsi="Times New Roman"/>
          <w:b/>
          <w:i/>
          <w:noProof/>
          <w:sz w:val="24"/>
        </w:rPr>
      </w:pPr>
      <w:r>
        <w:rPr>
          <w:rFonts w:ascii="Times New Roman" w:hAnsi="Times New Roman"/>
          <w:b/>
          <w:i/>
          <w:noProof/>
          <w:sz w:val="24"/>
        </w:rPr>
        <w:t>Third-party beneficiaries</w:t>
      </w:r>
    </w:p>
    <w:p w14:paraId="522735F7" w14:textId="77777777" w:rsidR="00787FCE" w:rsidRDefault="007C35F4">
      <w:pPr>
        <w:numPr>
          <w:ilvl w:val="1"/>
          <w:numId w:val="37"/>
        </w:numPr>
        <w:spacing w:before="120" w:after="120" w:line="240" w:lineRule="auto"/>
        <w:jc w:val="both"/>
        <w:rPr>
          <w:rFonts w:ascii="Times New Roman" w:hAnsi="Times New Roman"/>
          <w:noProof/>
          <w:sz w:val="24"/>
        </w:rPr>
      </w:pPr>
      <w:r>
        <w:rPr>
          <w:rFonts w:ascii="Times New Roman" w:hAnsi="Times New Roman"/>
          <w:noProof/>
          <w:sz w:val="24"/>
        </w:rPr>
        <w:t>Data subjects may invoke and enforce these Clauses, as third-party beneficiaries, against the data exporter and/or data importer, with the following exceptions:</w:t>
      </w:r>
    </w:p>
    <w:p w14:paraId="454E3905"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1, Clause 2, Clause 3, Clause 6, Clause 7;</w:t>
      </w:r>
    </w:p>
    <w:p w14:paraId="64EE4B0F"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8 - Module One: Clause 8.5 (e) and Clause 8.9(b); Module Two: Clause 8.1(b), 8.9(a), (c), (d) and (e); Module Three: Clause 8.1(a), (c) and (d) and Clause 8.9(a), (c), (d), (e), (f) and (g); Module Four: Clause 8.1 (b) and Clause 8.3(b);</w:t>
      </w:r>
    </w:p>
    <w:p w14:paraId="24C25AEA"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9 - Module Two: Clause 9(a), (c), (d) and (e); Module Three: Clause 9(a), (c), (d) and (e);</w:t>
      </w:r>
    </w:p>
    <w:p w14:paraId="4F267C07"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12 - Module One: Clause 12(a) and (d); Modules Two and Three: Clause 12(a), (d) and (f);</w:t>
      </w:r>
    </w:p>
    <w:p w14:paraId="1270FB27"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13;</w:t>
      </w:r>
    </w:p>
    <w:p w14:paraId="135FBC25"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15.1(c), (d) and (e);</w:t>
      </w:r>
    </w:p>
    <w:p w14:paraId="5AC19B07"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16(e);</w:t>
      </w:r>
    </w:p>
    <w:p w14:paraId="50652F3D"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Clause 18 - Modules One, Two and Three: Clause 18(a) and (b); Module Four: Clause 18.</w:t>
      </w:r>
    </w:p>
    <w:p w14:paraId="54D20CE1"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Paragraph (a) is without prejudice to rights of data subjects under Regulation (EU) 2016/679.</w:t>
      </w:r>
    </w:p>
    <w:p w14:paraId="1944E5CA" w14:textId="77777777" w:rsidR="00787FCE" w:rsidRDefault="0081607A">
      <w:pPr>
        <w:keepNext/>
        <w:spacing w:before="480" w:after="120" w:line="240" w:lineRule="auto"/>
        <w:jc w:val="center"/>
        <w:rPr>
          <w:rFonts w:ascii="Times New Roman" w:hAnsi="Times New Roman"/>
          <w:i/>
          <w:noProof/>
          <w:sz w:val="24"/>
        </w:rPr>
      </w:pPr>
      <w:r>
        <w:rPr>
          <w:rFonts w:ascii="Times New Roman" w:hAnsi="Times New Roman"/>
          <w:i/>
          <w:noProof/>
          <w:sz w:val="24"/>
        </w:rPr>
        <w:br w:type="page"/>
      </w:r>
      <w:r w:rsidR="007C35F4">
        <w:rPr>
          <w:rFonts w:ascii="Times New Roman" w:hAnsi="Times New Roman"/>
          <w:i/>
          <w:noProof/>
          <w:sz w:val="24"/>
        </w:rPr>
        <w:lastRenderedPageBreak/>
        <w:t>Clause 4</w:t>
      </w:r>
    </w:p>
    <w:p w14:paraId="033025E4"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Interpretation</w:t>
      </w:r>
    </w:p>
    <w:p w14:paraId="692A5572" w14:textId="77777777" w:rsidR="00787FCE" w:rsidRDefault="007C35F4">
      <w:pPr>
        <w:numPr>
          <w:ilvl w:val="1"/>
          <w:numId w:val="9"/>
        </w:numPr>
        <w:spacing w:before="120" w:after="120" w:line="240" w:lineRule="auto"/>
        <w:jc w:val="both"/>
        <w:rPr>
          <w:rFonts w:ascii="Times New Roman" w:hAnsi="Times New Roman"/>
          <w:noProof/>
          <w:sz w:val="24"/>
        </w:rPr>
      </w:pPr>
      <w:r>
        <w:rPr>
          <w:rFonts w:ascii="Times New Roman" w:hAnsi="Times New Roman"/>
          <w:noProof/>
          <w:sz w:val="24"/>
        </w:rPr>
        <w:t>Where these Clauses use terms that are defined in Regulation (EU) 2016/679, those terms shall have the same meaning as in that Regulation.</w:t>
      </w:r>
    </w:p>
    <w:p w14:paraId="181CEA6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These Clauses shall be read and interpreted in the light of the provisions of Regulation (EU) 2016/679.</w:t>
      </w:r>
    </w:p>
    <w:p w14:paraId="2859692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These Clauses shall not be interpreted in a way that conflicts with rights and obligations provided for in Regulation (EU) 2016/679. </w:t>
      </w:r>
    </w:p>
    <w:p w14:paraId="0923E10D" w14:textId="77777777" w:rsidR="0081607A" w:rsidRDefault="0081607A" w:rsidP="0081607A">
      <w:pPr>
        <w:spacing w:before="120" w:after="120" w:line="240" w:lineRule="auto"/>
        <w:ind w:left="850"/>
        <w:jc w:val="both"/>
        <w:rPr>
          <w:rFonts w:ascii="Times New Roman" w:hAnsi="Times New Roman"/>
          <w:noProof/>
          <w:sz w:val="24"/>
        </w:rPr>
      </w:pPr>
    </w:p>
    <w:p w14:paraId="407D6812" w14:textId="77777777" w:rsidR="00787FCE" w:rsidRDefault="007C35F4" w:rsidP="0081607A">
      <w:pPr>
        <w:jc w:val="center"/>
        <w:rPr>
          <w:rFonts w:ascii="Times New Roman" w:hAnsi="Times New Roman"/>
          <w:i/>
          <w:noProof/>
          <w:sz w:val="24"/>
        </w:rPr>
      </w:pPr>
      <w:r>
        <w:rPr>
          <w:rFonts w:ascii="Times New Roman" w:hAnsi="Times New Roman"/>
          <w:i/>
          <w:noProof/>
          <w:sz w:val="24"/>
        </w:rPr>
        <w:t>Clause 5</w:t>
      </w:r>
    </w:p>
    <w:p w14:paraId="260E44CB"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Hierarchy</w:t>
      </w:r>
    </w:p>
    <w:p w14:paraId="0C71F9D0"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In the event of a contradiction between these Clauses and the provisions of related agreements between the Parties, existing at the time these Clauses are agreed or entered into thereafter, these Clauses shall prevail.</w:t>
      </w:r>
    </w:p>
    <w:p w14:paraId="0B8960C8"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6</w:t>
      </w:r>
    </w:p>
    <w:p w14:paraId="30527F52"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Description of the transfer(s)</w:t>
      </w:r>
    </w:p>
    <w:p w14:paraId="67EB3C23"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The details of the transfer(s), and in particular the categories of personal data that are transferred and the purpose(s) for which they are transferred, are specified in Annex I.B.</w:t>
      </w:r>
    </w:p>
    <w:p w14:paraId="466EF244"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7 - Optional</w:t>
      </w:r>
    </w:p>
    <w:p w14:paraId="2950F598"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Docking clause</w:t>
      </w:r>
    </w:p>
    <w:p w14:paraId="21EA885C" w14:textId="77777777" w:rsidR="00787FCE" w:rsidRDefault="007C35F4">
      <w:pPr>
        <w:numPr>
          <w:ilvl w:val="1"/>
          <w:numId w:val="10"/>
        </w:numPr>
        <w:spacing w:before="120" w:after="120" w:line="240" w:lineRule="auto"/>
        <w:jc w:val="both"/>
        <w:rPr>
          <w:rFonts w:ascii="Times New Roman" w:hAnsi="Times New Roman"/>
          <w:noProof/>
          <w:sz w:val="24"/>
        </w:rPr>
      </w:pPr>
      <w:r>
        <w:rPr>
          <w:rFonts w:ascii="Times New Roman" w:hAnsi="Times New Roman"/>
          <w:noProof/>
          <w:sz w:val="24"/>
        </w:rPr>
        <w:t xml:space="preserve">An entity that is not a Party to these Clauses may, with the agreement of the Parties, accede to these Clauses at any time, either as a data exporter or as a data importer, by completing the Appendix and signing Annex I.A.  </w:t>
      </w:r>
    </w:p>
    <w:p w14:paraId="3D7DF77B"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Once it has completed the Appendix and signed Annex I.A, the acceding entity shall become a Party to these Clauses and have the rights and obligations of a data exporter or data importer in accordance with its designation in Annex I.A.</w:t>
      </w:r>
    </w:p>
    <w:p w14:paraId="248BFD2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acceding entity shall have no rights or obligations arising under these Clauses from the period prior to becoming a Party.</w:t>
      </w:r>
    </w:p>
    <w:p w14:paraId="297BA859" w14:textId="77777777" w:rsidR="00787FCE" w:rsidRDefault="00787FCE">
      <w:pPr>
        <w:spacing w:before="120" w:after="120" w:line="240" w:lineRule="auto"/>
        <w:jc w:val="both"/>
        <w:rPr>
          <w:rFonts w:ascii="Times New Roman" w:hAnsi="Times New Roman"/>
          <w:noProof/>
          <w:sz w:val="24"/>
        </w:rPr>
      </w:pPr>
    </w:p>
    <w:p w14:paraId="07F61662" w14:textId="77777777" w:rsidR="00787FCE" w:rsidRDefault="0081607A">
      <w:pPr>
        <w:spacing w:before="120" w:after="120" w:line="240" w:lineRule="auto"/>
        <w:jc w:val="center"/>
        <w:rPr>
          <w:rFonts w:ascii="Times New Roman" w:hAnsi="Times New Roman"/>
          <w:b/>
          <w:noProof/>
          <w:sz w:val="24"/>
          <w:u w:val="single"/>
        </w:rPr>
      </w:pPr>
      <w:r>
        <w:rPr>
          <w:rFonts w:ascii="Times New Roman" w:hAnsi="Times New Roman"/>
          <w:b/>
          <w:noProof/>
          <w:sz w:val="24"/>
          <w:u w:val="single"/>
        </w:rPr>
        <w:br w:type="page"/>
      </w:r>
      <w:r w:rsidR="007C35F4">
        <w:rPr>
          <w:rFonts w:ascii="Times New Roman" w:hAnsi="Times New Roman"/>
          <w:b/>
          <w:noProof/>
          <w:sz w:val="24"/>
          <w:u w:val="single"/>
        </w:rPr>
        <w:lastRenderedPageBreak/>
        <w:t>SECTION II – OBLIGATIONS OF THE PARTIES</w:t>
      </w:r>
    </w:p>
    <w:p w14:paraId="06C55BFC"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8</w:t>
      </w:r>
    </w:p>
    <w:p w14:paraId="5C6696BB"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Data protection safeguards</w:t>
      </w:r>
    </w:p>
    <w:p w14:paraId="66B16903"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The data exporter warrants that it has used reasonable efforts to determine that the data importer is able, through the implementation of appropriate technical and organisational measures, to satisfy its obligations under these Clauses. </w:t>
      </w:r>
    </w:p>
    <w:p w14:paraId="3F167334" w14:textId="77777777" w:rsidR="00787FCE" w:rsidRDefault="00787FCE" w:rsidP="0060107B">
      <w:pPr>
        <w:numPr>
          <w:ilvl w:val="1"/>
          <w:numId w:val="0"/>
        </w:numPr>
        <w:spacing w:before="120" w:after="120" w:line="240" w:lineRule="auto"/>
        <w:jc w:val="both"/>
        <w:rPr>
          <w:rFonts w:ascii="Times New Roman" w:hAnsi="Times New Roman"/>
          <w:noProof/>
          <w:sz w:val="24"/>
        </w:rPr>
      </w:pPr>
    </w:p>
    <w:p w14:paraId="5B4E66EF" w14:textId="77777777" w:rsidR="00787FCE" w:rsidRDefault="007C35F4">
      <w:pPr>
        <w:spacing w:before="240" w:after="120" w:line="240" w:lineRule="auto"/>
        <w:ind w:left="851" w:hanging="851"/>
        <w:jc w:val="both"/>
        <w:rPr>
          <w:rFonts w:ascii="Times New Roman" w:hAnsi="Times New Roman"/>
          <w:b/>
          <w:noProof/>
          <w:sz w:val="24"/>
        </w:rPr>
      </w:pPr>
      <w:r>
        <w:rPr>
          <w:rFonts w:ascii="Times New Roman" w:hAnsi="Times New Roman"/>
          <w:b/>
          <w:noProof/>
          <w:sz w:val="24"/>
        </w:rPr>
        <w:t>8.1</w:t>
      </w:r>
      <w:r>
        <w:rPr>
          <w:rFonts w:ascii="Times New Roman" w:hAnsi="Times New Roman"/>
          <w:b/>
          <w:noProof/>
          <w:sz w:val="24"/>
        </w:rPr>
        <w:tab/>
        <w:t>Instructions</w:t>
      </w:r>
    </w:p>
    <w:p w14:paraId="69CFBEE1" w14:textId="77777777" w:rsidR="00787FCE" w:rsidRDefault="007C35F4">
      <w:pPr>
        <w:numPr>
          <w:ilvl w:val="1"/>
          <w:numId w:val="15"/>
        </w:numPr>
        <w:spacing w:before="120" w:after="120" w:line="240" w:lineRule="auto"/>
        <w:jc w:val="both"/>
        <w:rPr>
          <w:rFonts w:ascii="Times New Roman" w:hAnsi="Times New Roman"/>
          <w:noProof/>
          <w:sz w:val="24"/>
        </w:rPr>
      </w:pPr>
      <w:r>
        <w:rPr>
          <w:rFonts w:ascii="Times New Roman" w:hAnsi="Times New Roman"/>
          <w:noProof/>
          <w:sz w:val="24"/>
        </w:rPr>
        <w:t>The data importer shall process the personal data only on documented instructions from the data exporter. The data exporter may give such instructions throughout the duration of the contract.</w:t>
      </w:r>
    </w:p>
    <w:p w14:paraId="61DAB8B2"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immediately inform the data exporter if it is unable to follow those instructions. </w:t>
      </w:r>
    </w:p>
    <w:p w14:paraId="1EEC6147"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8.2</w:t>
      </w:r>
      <w:r>
        <w:rPr>
          <w:rFonts w:ascii="Times New Roman" w:hAnsi="Times New Roman"/>
          <w:b/>
          <w:noProof/>
          <w:sz w:val="24"/>
        </w:rPr>
        <w:tab/>
        <w:t>Purpose limitation</w:t>
      </w:r>
    </w:p>
    <w:p w14:paraId="6D5CA7BF"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process the personal data only for the specific purpose(s) of the transfer, as set out in Annex I.B, unless on further instructions from the data exporter. </w:t>
      </w:r>
    </w:p>
    <w:p w14:paraId="169C4B1E"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8.3</w:t>
      </w:r>
      <w:r>
        <w:rPr>
          <w:rFonts w:ascii="Times New Roman" w:hAnsi="Times New Roman"/>
          <w:b/>
          <w:noProof/>
          <w:sz w:val="24"/>
        </w:rPr>
        <w:tab/>
        <w:t xml:space="preserve">Transparency </w:t>
      </w:r>
    </w:p>
    <w:p w14:paraId="04FA73C7"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  </w:t>
      </w:r>
    </w:p>
    <w:p w14:paraId="17383D69"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8.4</w:t>
      </w:r>
      <w:r>
        <w:rPr>
          <w:rFonts w:ascii="Times New Roman" w:hAnsi="Times New Roman"/>
          <w:b/>
          <w:noProof/>
          <w:sz w:val="24"/>
        </w:rPr>
        <w:tab/>
        <w:t>Accuracy</w:t>
      </w:r>
    </w:p>
    <w:p w14:paraId="6398ADC0"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34E78F6"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8.5</w:t>
      </w:r>
      <w:r>
        <w:rPr>
          <w:rFonts w:ascii="Times New Roman" w:hAnsi="Times New Roman"/>
          <w:b/>
          <w:noProof/>
          <w:sz w:val="24"/>
        </w:rPr>
        <w:tab/>
        <w:t>Duration of processing and erasure or return of data</w:t>
      </w:r>
    </w:p>
    <w:p w14:paraId="248369E2" w14:textId="77777777" w:rsidR="00787FCE" w:rsidRDefault="007C35F4">
      <w:pPr>
        <w:spacing w:after="160" w:line="259" w:lineRule="auto"/>
        <w:contextualSpacing/>
        <w:jc w:val="both"/>
        <w:rPr>
          <w:rFonts w:ascii="Times New Roman" w:hAnsi="Times New Roman"/>
          <w:noProof/>
          <w:sz w:val="24"/>
        </w:rPr>
      </w:pPr>
      <w:r>
        <w:rPr>
          <w:rFonts w:ascii="Times New Roman" w:hAnsi="Times New Roman"/>
          <w:noProof/>
          <w:sz w:val="24"/>
        </w:rPr>
        <w:t xml:space="preserve">Processing by the data importer shall only take place for the duration specified in Annex I.B. After the end of the provision of the processing services, the data importer shall, at the choice </w:t>
      </w:r>
      <w:r>
        <w:rPr>
          <w:rFonts w:ascii="Times New Roman" w:hAnsi="Times New Roman"/>
          <w:noProof/>
          <w:sz w:val="24"/>
        </w:rPr>
        <w:lastRenderedPageBreak/>
        <w:t xml:space="preserve">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 </w:t>
      </w:r>
    </w:p>
    <w:p w14:paraId="6081C7F6"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8.6</w:t>
      </w:r>
      <w:r>
        <w:rPr>
          <w:rFonts w:ascii="Times New Roman" w:hAnsi="Times New Roman"/>
          <w:b/>
          <w:noProof/>
          <w:sz w:val="24"/>
        </w:rPr>
        <w:tab/>
        <w:t>Security of processing</w:t>
      </w:r>
    </w:p>
    <w:p w14:paraId="6DE0FF6E" w14:textId="77777777" w:rsidR="00787FCE" w:rsidRDefault="007C35F4">
      <w:pPr>
        <w:numPr>
          <w:ilvl w:val="1"/>
          <w:numId w:val="1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 </w:t>
      </w:r>
    </w:p>
    <w:p w14:paraId="6BB421B5"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 </w:t>
      </w:r>
    </w:p>
    <w:p w14:paraId="787E1B9B"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w:t>
      </w:r>
      <w:r>
        <w:rPr>
          <w:rFonts w:ascii="Times New Roman" w:hAnsi="Times New Roman"/>
          <w:noProof/>
          <w:sz w:val="24"/>
        </w:rPr>
        <w:lastRenderedPageBreak/>
        <w:t xml:space="preserve">information at the same time, the initial notification shall contain the information then available and further information shall, as it becomes available, subsequently be provided without undue delay. </w:t>
      </w:r>
    </w:p>
    <w:p w14:paraId="18F5F715"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2F149827"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8.7</w:t>
      </w:r>
      <w:r>
        <w:rPr>
          <w:rFonts w:ascii="Times New Roman" w:hAnsi="Times New Roman"/>
          <w:b/>
          <w:noProof/>
          <w:sz w:val="24"/>
        </w:rPr>
        <w:tab/>
        <w:t>Sensitive data</w:t>
      </w:r>
    </w:p>
    <w:p w14:paraId="441DDA7F" w14:textId="77777777" w:rsidR="00787FCE" w:rsidRDefault="007C35F4">
      <w:pPr>
        <w:spacing w:after="160" w:line="259" w:lineRule="auto"/>
        <w:contextualSpacing/>
        <w:jc w:val="both"/>
        <w:rPr>
          <w:rFonts w:ascii="Times New Roman" w:hAnsi="Times New Roman"/>
          <w:noProof/>
          <w:sz w:val="24"/>
        </w:rPr>
      </w:pPr>
      <w:r>
        <w:rPr>
          <w:rFonts w:ascii="Times New Roman" w:hAnsi="Times New Roman"/>
          <w:noProof/>
          <w:sz w:val="24"/>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48541B2B"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8.8</w:t>
      </w:r>
      <w:r>
        <w:rPr>
          <w:rFonts w:ascii="Times New Roman" w:hAnsi="Times New Roman"/>
          <w:b/>
          <w:noProof/>
          <w:sz w:val="24"/>
        </w:rPr>
        <w:tab/>
        <w:t>Onward transfers</w:t>
      </w:r>
    </w:p>
    <w:p w14:paraId="5DA32313" w14:textId="77777777" w:rsidR="00787FCE" w:rsidRDefault="007C35F4">
      <w:pPr>
        <w:spacing w:after="120" w:line="259" w:lineRule="auto"/>
        <w:jc w:val="both"/>
        <w:rPr>
          <w:rFonts w:ascii="Times New Roman" w:hAnsi="Times New Roman"/>
          <w:noProof/>
          <w:sz w:val="24"/>
        </w:rPr>
      </w:pPr>
      <w:r>
        <w:rPr>
          <w:rFonts w:ascii="Times New Roman" w:hAnsi="Times New Roman"/>
          <w:noProof/>
          <w:sz w:val="24"/>
        </w:rPr>
        <w:t>The data importer shall only disclose the personal data to a third party on documented instructions from the data exporter. In addition, the data may only be disclosed to a third party located outside the European Union</w:t>
      </w:r>
      <w:r>
        <w:rPr>
          <w:rFonts w:ascii="Times New Roman" w:hAnsi="Times New Roman"/>
          <w:noProof/>
          <w:sz w:val="24"/>
          <w:vertAlign w:val="superscript"/>
        </w:rPr>
        <w:footnoteReference w:id="2"/>
      </w:r>
      <w:r>
        <w:rPr>
          <w:rFonts w:ascii="Times New Roman" w:hAnsi="Times New Roman"/>
          <w:noProof/>
          <w:sz w:val="24"/>
        </w:rPr>
        <w:t xml:space="preserve"> (in the same country as the data importer or in another third country, hereinafter “onward transfer”) if the third party is or agrees to be bound by these Clauses, under the appropriate Module, or if: </w:t>
      </w:r>
    </w:p>
    <w:p w14:paraId="568583AA"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onward transfer is to a country benefitting from an adequacy decision pursuant to Article 45 of Regulation (EU) 2016/679 that covers the onward transfer; </w:t>
      </w:r>
    </w:p>
    <w:p w14:paraId="5B1902F2"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third party otherwise ensures appropriate safeguards pursuant to Articles 46 or 47 Regulation of (EU) 2016/679 with respect to the processing in question;</w:t>
      </w:r>
    </w:p>
    <w:p w14:paraId="6992F739"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onward transfer is necessary for the establishment, exercise or defence of legal claims in the context of specific administrative, regulatory or judicial proceedings; or</w:t>
      </w:r>
    </w:p>
    <w:p w14:paraId="46232278"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onward transfer is necessary in order to protect the vital interests of the data subject or of another natural person.</w:t>
      </w:r>
    </w:p>
    <w:p w14:paraId="4CEE2A7D" w14:textId="77777777" w:rsidR="00787FCE" w:rsidRDefault="007C35F4">
      <w:pPr>
        <w:spacing w:after="160" w:line="259" w:lineRule="auto"/>
        <w:contextualSpacing/>
        <w:jc w:val="both"/>
        <w:rPr>
          <w:rFonts w:ascii="Times New Roman" w:hAnsi="Times New Roman"/>
          <w:noProof/>
          <w:sz w:val="24"/>
        </w:rPr>
      </w:pPr>
      <w:r>
        <w:rPr>
          <w:rFonts w:ascii="Times New Roman" w:hAnsi="Times New Roman"/>
          <w:noProof/>
          <w:sz w:val="24"/>
        </w:rPr>
        <w:t>Any onward transfer is subject to compliance by the data importer with all the other safeguards under these Clauses, in particular purpose limitation.</w:t>
      </w:r>
    </w:p>
    <w:p w14:paraId="67E0CF88" w14:textId="77777777" w:rsidR="00787FCE" w:rsidRDefault="007C35F4">
      <w:pPr>
        <w:rPr>
          <w:rFonts w:ascii="Times New Roman" w:hAnsi="Times New Roman"/>
          <w:b/>
          <w:noProof/>
          <w:sz w:val="24"/>
        </w:rPr>
      </w:pPr>
      <w:r>
        <w:rPr>
          <w:rFonts w:ascii="Times New Roman" w:hAnsi="Times New Roman"/>
          <w:b/>
          <w:noProof/>
          <w:sz w:val="24"/>
        </w:rPr>
        <w:br w:type="page"/>
      </w:r>
    </w:p>
    <w:p w14:paraId="3686713E"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8.9</w:t>
      </w:r>
      <w:r>
        <w:rPr>
          <w:rFonts w:ascii="Times New Roman" w:hAnsi="Times New Roman"/>
          <w:b/>
          <w:noProof/>
          <w:sz w:val="24"/>
        </w:rPr>
        <w:tab/>
        <w:t>Documentation and compliance</w:t>
      </w:r>
    </w:p>
    <w:p w14:paraId="5EB33362" w14:textId="77777777" w:rsidR="00787FCE" w:rsidRDefault="007C35F4">
      <w:pPr>
        <w:numPr>
          <w:ilvl w:val="1"/>
          <w:numId w:val="17"/>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promptly and adequately deal with enquiries from the data exporter that relate to the processing under these Clauses. </w:t>
      </w:r>
    </w:p>
    <w:p w14:paraId="1BC72AF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 shall be able to demonstrate compliance with these Clauses. In particular, the data importer shall keep appropriate documentation on the processing activities carried out on behalf of the data exporter.</w:t>
      </w:r>
    </w:p>
    <w:p w14:paraId="42C822F1"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take into account relevant certifications held by the data importer.   </w:t>
      </w:r>
    </w:p>
    <w:p w14:paraId="12F14FE5"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exporter may choose to conduct the audit by itself or mandate an independent auditor. Audits may include inspections at the premises or physical facilities of the data importer and shall, where appropriate, be carried out with reasonable notice. </w:t>
      </w:r>
    </w:p>
    <w:p w14:paraId="4E92BD96"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 shall make the information referred to in paragraphs (b) and (c), including the results of any audits, available to the competent supervisory authority on request.</w:t>
      </w:r>
    </w:p>
    <w:p w14:paraId="6E800293" w14:textId="77777777" w:rsidR="00787FCE" w:rsidRDefault="00787FCE">
      <w:pPr>
        <w:numPr>
          <w:ilvl w:val="1"/>
          <w:numId w:val="0"/>
        </w:numPr>
        <w:spacing w:before="120" w:after="120" w:line="240" w:lineRule="auto"/>
        <w:jc w:val="both"/>
        <w:rPr>
          <w:rFonts w:ascii="Times New Roman" w:hAnsi="Times New Roman"/>
          <w:noProof/>
          <w:sz w:val="24"/>
        </w:rPr>
      </w:pPr>
    </w:p>
    <w:p w14:paraId="3FEFAE80"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9</w:t>
      </w:r>
    </w:p>
    <w:p w14:paraId="690629F5"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Use of sub-processors</w:t>
      </w:r>
    </w:p>
    <w:p w14:paraId="2C848475" w14:textId="77777777" w:rsidR="00787FCE" w:rsidRDefault="00787FCE">
      <w:pPr>
        <w:numPr>
          <w:ilvl w:val="1"/>
          <w:numId w:val="0"/>
        </w:numPr>
        <w:spacing w:before="120" w:after="120" w:line="240" w:lineRule="auto"/>
        <w:jc w:val="center"/>
        <w:rPr>
          <w:rFonts w:ascii="Times New Roman" w:hAnsi="Times New Roman"/>
          <w:noProof/>
          <w:sz w:val="24"/>
        </w:rPr>
      </w:pPr>
    </w:p>
    <w:p w14:paraId="72DA37EB" w14:textId="77777777" w:rsidR="00787FCE" w:rsidRDefault="007C35F4">
      <w:pPr>
        <w:numPr>
          <w:ilvl w:val="1"/>
          <w:numId w:val="25"/>
        </w:numPr>
        <w:spacing w:before="120" w:after="120" w:line="240" w:lineRule="auto"/>
        <w:jc w:val="both"/>
        <w:rPr>
          <w:rFonts w:ascii="Times New Roman" w:hAnsi="Times New Roman"/>
          <w:noProof/>
          <w:sz w:val="24"/>
        </w:rPr>
      </w:pPr>
      <w:r>
        <w:rPr>
          <w:rFonts w:ascii="Times New Roman" w:hAnsi="Times New Roman"/>
          <w:noProof/>
          <w:sz w:val="24"/>
        </w:rPr>
        <w:t>OPTION 1: SPECIFIC PRIOR AUTHORISATION The data importer shall not sub-contract any of its processing activities performed on behalf of the data exporter under these Clauses to a sub-processor without the data exporter’s prior specific written authorisation. The data importer shall submit the request for specific authorisation at least [</w:t>
      </w:r>
      <w:r>
        <w:rPr>
          <w:rFonts w:ascii="Times New Roman" w:hAnsi="Times New Roman"/>
          <w:i/>
          <w:noProof/>
          <w:sz w:val="24"/>
        </w:rPr>
        <w:t>Specify time period</w:t>
      </w:r>
      <w:r>
        <w:rPr>
          <w:rFonts w:ascii="Times New Roman" w:hAnsi="Times New Roman"/>
          <w:noProof/>
          <w:sz w:val="24"/>
        </w:rPr>
        <w:t>] prior to the engagement of the  sub-processor, together with the information necessary to enable the data exporter to decide on the authorisation. The list of sub-processors already authorised by the data exporter can be found in Annex III. The Parties shall keep Annex III up to date.</w:t>
      </w:r>
    </w:p>
    <w:p w14:paraId="38A03426" w14:textId="77777777" w:rsidR="00787FCE" w:rsidRDefault="007C35F4">
      <w:pPr>
        <w:numPr>
          <w:ilvl w:val="1"/>
          <w:numId w:val="0"/>
        </w:numPr>
        <w:tabs>
          <w:tab w:val="left" w:pos="720"/>
        </w:tabs>
        <w:spacing w:before="120" w:after="120" w:line="240" w:lineRule="auto"/>
        <w:ind w:left="850"/>
        <w:jc w:val="both"/>
        <w:rPr>
          <w:rFonts w:ascii="Times New Roman" w:hAnsi="Times New Roman"/>
          <w:noProof/>
          <w:sz w:val="24"/>
          <w:szCs w:val="24"/>
        </w:rPr>
      </w:pPr>
      <w:r>
        <w:rPr>
          <w:rFonts w:ascii="Times New Roman" w:hAnsi="Times New Roman"/>
          <w:noProof/>
          <w:sz w:val="24"/>
        </w:rPr>
        <w:t>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r>
        <w:rPr>
          <w:rFonts w:ascii="Times New Roman" w:hAnsi="Times New Roman"/>
          <w:i/>
          <w:noProof/>
          <w:sz w:val="24"/>
        </w:rPr>
        <w:t>Specify time period</w:t>
      </w:r>
      <w:r>
        <w:rPr>
          <w:rFonts w:ascii="Times New Roman" w:hAnsi="Times New Roman"/>
          <w:noProof/>
          <w:sz w:val="24"/>
        </w:rPr>
        <w:t xml:space="preserve">] in advance, thereby giving the data exporter sufficient time to be able to object to such changes prior to the engagement of the </w:t>
      </w:r>
      <w:r>
        <w:rPr>
          <w:rFonts w:ascii="Times New Roman" w:hAnsi="Times New Roman"/>
          <w:noProof/>
          <w:sz w:val="24"/>
        </w:rPr>
        <w:lastRenderedPageBreak/>
        <w:t xml:space="preserve">sub-processor(s). </w:t>
      </w:r>
      <w:r>
        <w:rPr>
          <w:rFonts w:ascii="Times New Roman" w:hAnsi="Times New Roman"/>
          <w:noProof/>
          <w:sz w:val="24"/>
          <w:szCs w:val="24"/>
        </w:rPr>
        <w:t xml:space="preserve">The data importer shall provide the data exporter with the information necessary to enable the data exporter to exercise its right to object. </w:t>
      </w:r>
    </w:p>
    <w:p w14:paraId="74FD605B"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w:t>
      </w:r>
      <w:r>
        <w:rPr>
          <w:rStyle w:val="Rimandonotaapidipagina"/>
          <w:rFonts w:ascii="Times New Roman" w:hAnsi="Times New Roman"/>
          <w:noProof/>
          <w:sz w:val="24"/>
        </w:rPr>
        <w:footnoteReference w:id="3"/>
      </w:r>
      <w:r>
        <w:rPr>
          <w:rFonts w:ascii="Times New Roman" w:hAnsi="Times New Roman"/>
          <w:noProof/>
          <w:sz w:val="24"/>
        </w:rPr>
        <w:t xml:space="preserve"> The Parties agree that, by complying with this Clause, the data importer fulfils its obligations under Clause 8.8. The data importer shall ensure that the sub-processor complies with the obligations to which the data importer is subject pursuant to these Clauses.</w:t>
      </w:r>
    </w:p>
    <w:p w14:paraId="376678FF"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713CA4E0"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 </w:t>
      </w:r>
    </w:p>
    <w:p w14:paraId="3E8E2833"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6EA90C0F" w14:textId="77777777" w:rsidR="00787FCE" w:rsidRDefault="00787FCE" w:rsidP="0060107B">
      <w:pPr>
        <w:spacing w:before="120" w:after="120" w:line="240" w:lineRule="auto"/>
        <w:jc w:val="both"/>
        <w:rPr>
          <w:rFonts w:ascii="Times New Roman" w:hAnsi="Times New Roman"/>
          <w:noProof/>
          <w:sz w:val="24"/>
        </w:rPr>
      </w:pPr>
    </w:p>
    <w:p w14:paraId="66408BFD"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10</w:t>
      </w:r>
    </w:p>
    <w:p w14:paraId="55476285"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Data subject rights</w:t>
      </w:r>
    </w:p>
    <w:p w14:paraId="2E9B5A97" w14:textId="77777777" w:rsidR="00787FCE" w:rsidRDefault="00787FCE">
      <w:pPr>
        <w:numPr>
          <w:ilvl w:val="1"/>
          <w:numId w:val="0"/>
        </w:numPr>
        <w:spacing w:before="120" w:after="120" w:line="240" w:lineRule="auto"/>
        <w:jc w:val="center"/>
        <w:rPr>
          <w:rFonts w:ascii="Times New Roman" w:hAnsi="Times New Roman"/>
          <w:b/>
          <w:i/>
          <w:noProof/>
          <w:sz w:val="24"/>
        </w:rPr>
      </w:pPr>
    </w:p>
    <w:p w14:paraId="18EF1745" w14:textId="77777777" w:rsidR="00787FCE" w:rsidRDefault="007C35F4">
      <w:pPr>
        <w:numPr>
          <w:ilvl w:val="1"/>
          <w:numId w:val="28"/>
        </w:numPr>
        <w:spacing w:before="240" w:after="120" w:line="240" w:lineRule="auto"/>
        <w:jc w:val="both"/>
        <w:rPr>
          <w:rFonts w:ascii="Times New Roman" w:hAnsi="Times New Roman"/>
          <w:noProof/>
          <w:sz w:val="24"/>
        </w:rPr>
      </w:pPr>
      <w:r>
        <w:rPr>
          <w:rFonts w:ascii="Times New Roman" w:hAnsi="Times New Roman"/>
          <w:noProof/>
          <w:sz w:val="24"/>
        </w:rPr>
        <w:t>The data importer shall promptly notify the data exporter of any request it has received from a data subject. It shall not respond to that request itself unless it has been authorised to do so by the data exporter.</w:t>
      </w:r>
    </w:p>
    <w:p w14:paraId="275C5F53"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 </w:t>
      </w:r>
    </w:p>
    <w:p w14:paraId="1DC1C1E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lastRenderedPageBreak/>
        <w:t>In fulfilling its obligations under paragraphs (a) and (b), the data importer shall comply with the instructions from the data exporter.</w:t>
      </w:r>
    </w:p>
    <w:p w14:paraId="2D389116" w14:textId="77777777" w:rsidR="00787FCE" w:rsidRPr="00387699" w:rsidRDefault="00787FCE">
      <w:pPr>
        <w:numPr>
          <w:ilvl w:val="1"/>
          <w:numId w:val="0"/>
        </w:numPr>
        <w:spacing w:before="120" w:after="120" w:line="240" w:lineRule="auto"/>
        <w:jc w:val="both"/>
        <w:rPr>
          <w:rFonts w:ascii="Times New Roman" w:hAnsi="Times New Roman"/>
          <w:noProof/>
          <w:sz w:val="24"/>
          <w:highlight w:val="lightGray"/>
        </w:rPr>
      </w:pPr>
    </w:p>
    <w:p w14:paraId="6E22CE7C"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11</w:t>
      </w:r>
    </w:p>
    <w:p w14:paraId="48584E8D"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Redress</w:t>
      </w:r>
    </w:p>
    <w:p w14:paraId="7ECA5973" w14:textId="77777777" w:rsidR="00787FCE" w:rsidRDefault="007C35F4">
      <w:pPr>
        <w:numPr>
          <w:ilvl w:val="1"/>
          <w:numId w:val="30"/>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inform data subjects in a transparent and easily accessible format, through individual notice or on its website, of a contact point authorised to handle complaints. It shall deal promptly with any complaints it receives from a data subject. </w:t>
      </w:r>
    </w:p>
    <w:p w14:paraId="33D69600" w14:textId="77777777" w:rsidR="00787FCE" w:rsidRDefault="007C35F4" w:rsidP="0081607A">
      <w:pPr>
        <w:numPr>
          <w:ilvl w:val="1"/>
          <w:numId w:val="0"/>
        </w:numPr>
        <w:spacing w:before="120" w:after="120" w:line="240" w:lineRule="auto"/>
        <w:ind w:left="850"/>
        <w:jc w:val="both"/>
        <w:rPr>
          <w:rFonts w:ascii="Times New Roman" w:hAnsi="Times New Roman"/>
          <w:noProof/>
          <w:sz w:val="24"/>
        </w:rPr>
      </w:pPr>
      <w:r>
        <w:rPr>
          <w:rFonts w:ascii="Times New Roman" w:hAnsi="Times New Roman"/>
          <w:noProof/>
          <w:sz w:val="24"/>
        </w:rPr>
        <w:t>[OPTION: The data importer agrees that data subjects may also lodge a complaint with an independent dispute resolution body</w:t>
      </w:r>
      <w:r>
        <w:rPr>
          <w:rFonts w:ascii="Times New Roman" w:hAnsi="Times New Roman"/>
          <w:noProof/>
          <w:sz w:val="24"/>
          <w:vertAlign w:val="superscript"/>
        </w:rPr>
        <w:footnoteReference w:id="4"/>
      </w:r>
      <w:r>
        <w:rPr>
          <w:rFonts w:ascii="Times New Roman" w:hAnsi="Times New Roman"/>
          <w:noProof/>
          <w:sz w:val="24"/>
        </w:rPr>
        <w:t xml:space="preserve"> at no cost to the data subject. It shall inform the data subjects, in the manner set out in paragraph (a), of such redress mechanism and that they are not required to use it, or follow a particular sequence in seeking redress.]</w:t>
      </w:r>
    </w:p>
    <w:p w14:paraId="4A455657" w14:textId="77777777" w:rsidR="00787FCE" w:rsidRDefault="007C35F4">
      <w:pPr>
        <w:numPr>
          <w:ilvl w:val="1"/>
          <w:numId w:val="30"/>
        </w:numPr>
        <w:spacing w:before="240" w:after="120" w:line="240" w:lineRule="auto"/>
        <w:jc w:val="both"/>
        <w:rPr>
          <w:rFonts w:ascii="Times New Roman" w:hAnsi="Times New Roman"/>
          <w:noProof/>
          <w:sz w:val="24"/>
        </w:rPr>
      </w:pPr>
      <w:r>
        <w:rPr>
          <w:rFonts w:ascii="Times New Roman" w:hAnsi="Times New Roman"/>
          <w:noProof/>
          <w:sz w:val="24"/>
        </w:rPr>
        <w:t xml:space="preserve">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   </w:t>
      </w:r>
    </w:p>
    <w:p w14:paraId="610E275D"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Where the data subject invokes a third-party beneficiary right pursuant to Clause 3, the data importer shall accept the decision of the data subject to: </w:t>
      </w:r>
    </w:p>
    <w:p w14:paraId="7708F9DE"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lodge a complaint with the supervisory authority in the Member State of his/her habitual residence or place of work, or the competent supervisory authority pursuant to Clause 13;</w:t>
      </w:r>
    </w:p>
    <w:p w14:paraId="2E66A6BF"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refer the dispute to the competent courts within the meaning of Clause 18.</w:t>
      </w:r>
    </w:p>
    <w:p w14:paraId="3317B2D9"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Parties accept that the data subject may be represented by a not-for-profit body, organisation or association under the conditions set out in Article 80(1) of Regulation (EU) 2016/679. </w:t>
      </w:r>
    </w:p>
    <w:p w14:paraId="2F34F0EC"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shall abide by a decision that is binding under the applicable EU or Member State law.</w:t>
      </w:r>
    </w:p>
    <w:p w14:paraId="1D0B492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agrees that the choice made by the data subject will not prejudice his/her substantive and procedural rights to seek remedies in accordance with applicable laws.</w:t>
      </w:r>
    </w:p>
    <w:p w14:paraId="55023894"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12</w:t>
      </w:r>
    </w:p>
    <w:p w14:paraId="514176AF"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Liability</w:t>
      </w:r>
    </w:p>
    <w:p w14:paraId="5772E726" w14:textId="77777777" w:rsidR="00787FCE" w:rsidRPr="00387699" w:rsidRDefault="00787FCE" w:rsidP="0060107B">
      <w:pPr>
        <w:spacing w:before="120" w:after="120" w:line="240" w:lineRule="auto"/>
        <w:jc w:val="both"/>
        <w:rPr>
          <w:rFonts w:ascii="Times New Roman" w:hAnsi="Times New Roman"/>
          <w:b/>
          <w:noProof/>
          <w:sz w:val="24"/>
          <w:highlight w:val="lightGray"/>
        </w:rPr>
      </w:pPr>
    </w:p>
    <w:p w14:paraId="6E1A72E5" w14:textId="77777777" w:rsidR="00787FCE" w:rsidRDefault="007C35F4">
      <w:pPr>
        <w:numPr>
          <w:ilvl w:val="1"/>
          <w:numId w:val="32"/>
        </w:numPr>
        <w:spacing w:before="240" w:after="120" w:line="240" w:lineRule="auto"/>
        <w:jc w:val="both"/>
        <w:rPr>
          <w:rFonts w:ascii="Times New Roman" w:hAnsi="Times New Roman"/>
          <w:noProof/>
          <w:sz w:val="24"/>
        </w:rPr>
      </w:pPr>
      <w:r>
        <w:rPr>
          <w:rFonts w:ascii="Times New Roman" w:hAnsi="Times New Roman"/>
          <w:noProof/>
          <w:sz w:val="24"/>
        </w:rPr>
        <w:t xml:space="preserve">Each Party shall be liable to the other Party/ies for any damages it causes the other Party/ies by any breach of these Clauses. </w:t>
      </w:r>
    </w:p>
    <w:p w14:paraId="07B6B015"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 </w:t>
      </w:r>
    </w:p>
    <w:p w14:paraId="068DD6E5"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0A79CAB0"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7D617DF4"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2029E670"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 agree that if one Party is held liable under paragraph (e), it shall be entitled to claim back from the other Party/ies that part of the compensation corresponding to its / their responsibility for the damage.</w:t>
      </w:r>
    </w:p>
    <w:p w14:paraId="027A26A4"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may not invoke the conduct of a sub-processor to avoid its own liability.</w:t>
      </w:r>
    </w:p>
    <w:p w14:paraId="23290DCA"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13</w:t>
      </w:r>
    </w:p>
    <w:p w14:paraId="7902B84D" w14:textId="77777777" w:rsidR="0081607A" w:rsidRDefault="007C35F4" w:rsidP="0081607A">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Supervision</w:t>
      </w:r>
    </w:p>
    <w:p w14:paraId="78656279" w14:textId="77777777" w:rsidR="00787FCE" w:rsidRPr="0081607A" w:rsidRDefault="007C35F4" w:rsidP="0081607A">
      <w:pPr>
        <w:numPr>
          <w:ilvl w:val="1"/>
          <w:numId w:val="0"/>
        </w:numPr>
        <w:spacing w:before="120" w:after="120" w:line="240" w:lineRule="auto"/>
        <w:jc w:val="center"/>
        <w:rPr>
          <w:rFonts w:ascii="Times New Roman" w:hAnsi="Times New Roman"/>
          <w:b/>
          <w:i/>
          <w:noProof/>
          <w:sz w:val="24"/>
        </w:rPr>
      </w:pPr>
      <w:r>
        <w:rPr>
          <w:rFonts w:ascii="Times New Roman" w:hAnsi="Times New Roman"/>
          <w:noProof/>
          <w:sz w:val="24"/>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647FA993" w14:textId="77777777" w:rsidR="00787FCE" w:rsidRDefault="007C35F4">
      <w:pPr>
        <w:numPr>
          <w:ilvl w:val="1"/>
          <w:numId w:val="0"/>
        </w:numPr>
        <w:spacing w:before="120" w:after="120" w:line="240" w:lineRule="auto"/>
        <w:ind w:left="850"/>
        <w:jc w:val="both"/>
        <w:rPr>
          <w:rFonts w:ascii="Times New Roman" w:hAnsi="Times New Roman"/>
          <w:noProof/>
          <w:sz w:val="24"/>
        </w:rPr>
      </w:pPr>
      <w:r>
        <w:rPr>
          <w:rFonts w:ascii="Times New Roman" w:hAnsi="Times New Roman"/>
          <w:noProof/>
          <w:sz w:val="24"/>
        </w:rPr>
        <w:t xml:space="preserve">[Where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w:t>
      </w:r>
      <w:r>
        <w:rPr>
          <w:rFonts w:ascii="Times New Roman" w:hAnsi="Times New Roman"/>
          <w:noProof/>
          <w:sz w:val="24"/>
        </w:rPr>
        <w:lastRenderedPageBreak/>
        <w:t xml:space="preserve">is established, as indicated in Annex I.C, shall act as competent supervisory authority. </w:t>
      </w:r>
    </w:p>
    <w:p w14:paraId="109962B8" w14:textId="77777777" w:rsidR="00787FCE" w:rsidRDefault="007C35F4">
      <w:pPr>
        <w:numPr>
          <w:ilvl w:val="1"/>
          <w:numId w:val="0"/>
        </w:numPr>
        <w:spacing w:before="120" w:after="120" w:line="240" w:lineRule="auto"/>
        <w:ind w:left="850"/>
        <w:jc w:val="both"/>
        <w:rPr>
          <w:rFonts w:ascii="Times New Roman" w:hAnsi="Times New Roman"/>
          <w:noProof/>
          <w:sz w:val="24"/>
        </w:rPr>
      </w:pPr>
      <w:r>
        <w:rPr>
          <w:rFonts w:ascii="Times New Roman" w:hAnsi="Times New Roman"/>
          <w:noProof/>
          <w:sz w:val="24"/>
        </w:rPr>
        <w:t xml:space="preserve">[Where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 </w:t>
      </w:r>
    </w:p>
    <w:p w14:paraId="676CD90D"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55CFA801" w14:textId="77777777" w:rsidR="00787FCE" w:rsidRDefault="00787FCE">
      <w:pPr>
        <w:spacing w:before="120" w:after="120" w:line="240" w:lineRule="auto"/>
        <w:jc w:val="center"/>
        <w:rPr>
          <w:rFonts w:ascii="Times New Roman" w:hAnsi="Times New Roman"/>
          <w:b/>
          <w:noProof/>
          <w:sz w:val="24"/>
          <w:u w:val="single"/>
        </w:rPr>
      </w:pPr>
    </w:p>
    <w:p w14:paraId="1A6D17DD" w14:textId="77777777" w:rsidR="00787FCE" w:rsidRDefault="00787FCE">
      <w:pPr>
        <w:spacing w:before="120" w:after="120" w:line="240" w:lineRule="auto"/>
        <w:jc w:val="center"/>
        <w:rPr>
          <w:rFonts w:ascii="Times New Roman" w:hAnsi="Times New Roman"/>
          <w:b/>
          <w:noProof/>
          <w:sz w:val="24"/>
          <w:u w:val="single"/>
        </w:rPr>
      </w:pPr>
    </w:p>
    <w:p w14:paraId="66394988" w14:textId="77777777" w:rsidR="00787FCE" w:rsidRDefault="0081607A">
      <w:pPr>
        <w:spacing w:before="120" w:after="120" w:line="240" w:lineRule="auto"/>
        <w:jc w:val="center"/>
        <w:rPr>
          <w:rFonts w:ascii="Times New Roman" w:hAnsi="Times New Roman"/>
          <w:b/>
          <w:noProof/>
          <w:sz w:val="24"/>
          <w:u w:val="single"/>
        </w:rPr>
      </w:pPr>
      <w:r>
        <w:rPr>
          <w:rFonts w:ascii="Times New Roman" w:hAnsi="Times New Roman"/>
          <w:b/>
          <w:noProof/>
          <w:sz w:val="24"/>
          <w:u w:val="single"/>
        </w:rPr>
        <w:br w:type="page"/>
      </w:r>
      <w:r w:rsidR="007C35F4">
        <w:rPr>
          <w:rFonts w:ascii="Times New Roman" w:hAnsi="Times New Roman"/>
          <w:b/>
          <w:noProof/>
          <w:sz w:val="24"/>
          <w:u w:val="single"/>
        </w:rPr>
        <w:lastRenderedPageBreak/>
        <w:t>SECTION III – LOCAL LAWS AND OBLIGATIONS IN CASE OF ACCESS BY PUBLIC AUTHORITIES</w:t>
      </w:r>
    </w:p>
    <w:p w14:paraId="3EC6D4DA"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14</w:t>
      </w:r>
    </w:p>
    <w:p w14:paraId="6CE07EFE"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Local laws and practices affecting compliance with the Clauses</w:t>
      </w:r>
    </w:p>
    <w:p w14:paraId="7B74C145" w14:textId="77777777" w:rsidR="00787FCE" w:rsidRDefault="00787FCE">
      <w:pPr>
        <w:spacing w:before="120" w:after="120" w:line="240" w:lineRule="auto"/>
        <w:jc w:val="both"/>
        <w:rPr>
          <w:rFonts w:ascii="Times New Roman" w:hAnsi="Times New Roman"/>
          <w:b/>
          <w:noProof/>
          <w:sz w:val="24"/>
        </w:rPr>
      </w:pPr>
    </w:p>
    <w:p w14:paraId="49275C97" w14:textId="77777777" w:rsidR="00787FCE" w:rsidRDefault="007C35F4">
      <w:pPr>
        <w:numPr>
          <w:ilvl w:val="1"/>
          <w:numId w:val="22"/>
        </w:numPr>
        <w:spacing w:before="240" w:after="120" w:line="240" w:lineRule="auto"/>
        <w:jc w:val="both"/>
        <w:rPr>
          <w:rFonts w:ascii="Times New Roman" w:hAnsi="Times New Roman"/>
          <w:noProof/>
          <w:sz w:val="24"/>
        </w:rPr>
      </w:pPr>
      <w:r>
        <w:rPr>
          <w:rFonts w:ascii="Times New Roman" w:hAnsi="Times New Roman"/>
          <w:noProof/>
          <w:sz w:val="24"/>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0617F5AF"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 declare</w:t>
      </w:r>
      <w:r>
        <w:rPr>
          <w:rFonts w:ascii="Times New Roman" w:hAnsi="Times New Roman"/>
          <w:noProof/>
          <w:sz w:val="24"/>
          <w:lang w:eastAsia="en-GB"/>
        </w:rPr>
        <w:t xml:space="preserve"> that in providing the warranty in paragraph (a), they have taken due account in particular of the following elements:</w:t>
      </w:r>
    </w:p>
    <w:p w14:paraId="6038F278" w14:textId="77777777" w:rsidR="00787FCE" w:rsidRDefault="007C35F4">
      <w:pPr>
        <w:numPr>
          <w:ilvl w:val="3"/>
          <w:numId w:val="46"/>
        </w:numPr>
        <w:spacing w:before="120" w:after="120" w:line="240" w:lineRule="auto"/>
        <w:jc w:val="both"/>
        <w:rPr>
          <w:rFonts w:ascii="Times New Roman" w:hAnsi="Times New Roman"/>
          <w:noProof/>
          <w:sz w:val="24"/>
          <w:lang w:eastAsia="en-GB"/>
        </w:rPr>
      </w:pPr>
      <w:r>
        <w:rPr>
          <w:rFonts w:ascii="Times New Roman" w:hAnsi="Times New Roman"/>
          <w:noProof/>
          <w:sz w:val="24"/>
          <w:lang w:eastAsia="en-GB"/>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r>
        <w:rPr>
          <w:rFonts w:ascii="Times New Roman" w:hAnsi="Times New Roman"/>
          <w:noProof/>
          <w:sz w:val="24"/>
        </w:rPr>
        <w:t xml:space="preserve">; </w:t>
      </w:r>
    </w:p>
    <w:p w14:paraId="03BAD2C5" w14:textId="77777777" w:rsidR="00787FCE" w:rsidRDefault="007C35F4">
      <w:pPr>
        <w:numPr>
          <w:ilvl w:val="3"/>
          <w:numId w:val="46"/>
        </w:numPr>
        <w:spacing w:before="120" w:after="120" w:line="240" w:lineRule="auto"/>
        <w:jc w:val="both"/>
        <w:rPr>
          <w:rFonts w:ascii="Times New Roman" w:hAnsi="Times New Roman"/>
          <w:noProof/>
          <w:sz w:val="24"/>
          <w:lang w:eastAsia="en-GB"/>
        </w:rPr>
      </w:pPr>
      <w:r>
        <w:rPr>
          <w:rFonts w:ascii="Times New Roman" w:hAnsi="Times New Roman"/>
          <w:noProof/>
          <w:sz w:val="24"/>
          <w:lang w:eastAsia="en-GB"/>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w:t>
      </w:r>
      <w:r>
        <w:rPr>
          <w:rFonts w:ascii="Times New Roman" w:hAnsi="Times New Roman"/>
          <w:noProof/>
          <w:sz w:val="24"/>
          <w:vertAlign w:val="superscript"/>
          <w:lang w:eastAsia="en-GB"/>
        </w:rPr>
        <w:footnoteReference w:id="5"/>
      </w:r>
      <w:r>
        <w:rPr>
          <w:rFonts w:ascii="Times New Roman" w:hAnsi="Times New Roman"/>
          <w:noProof/>
          <w:sz w:val="24"/>
          <w:lang w:eastAsia="en-GB"/>
        </w:rPr>
        <w:t xml:space="preserve">; </w:t>
      </w:r>
    </w:p>
    <w:p w14:paraId="313475A2" w14:textId="77777777" w:rsidR="00787FCE" w:rsidRDefault="007C35F4">
      <w:pPr>
        <w:numPr>
          <w:ilvl w:val="3"/>
          <w:numId w:val="46"/>
        </w:numPr>
        <w:spacing w:before="120" w:after="120" w:line="240" w:lineRule="auto"/>
        <w:jc w:val="both"/>
        <w:rPr>
          <w:rFonts w:ascii="Times New Roman" w:hAnsi="Times New Roman"/>
          <w:noProof/>
          <w:sz w:val="24"/>
          <w:lang w:eastAsia="en-GB"/>
        </w:rPr>
      </w:pPr>
      <w:r>
        <w:rPr>
          <w:rFonts w:ascii="Times New Roman" w:hAnsi="Times New Roman"/>
          <w:noProof/>
          <w:sz w:val="24"/>
          <w:lang w:eastAsia="en-GB"/>
        </w:rPr>
        <w:t xml:space="preserve">any relevant contractual, technical or organisational safeguards put in place to supplement the safeguards under these Clauses, including measures applied </w:t>
      </w:r>
      <w:r>
        <w:rPr>
          <w:rFonts w:ascii="Times New Roman" w:hAnsi="Times New Roman"/>
          <w:noProof/>
          <w:sz w:val="24"/>
          <w:lang w:eastAsia="en-GB"/>
        </w:rPr>
        <w:lastRenderedPageBreak/>
        <w:t>during transmission and to the processing of the personal data in the country of destination.</w:t>
      </w:r>
    </w:p>
    <w:p w14:paraId="449185D1"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DC78516"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Parties agree to document the assessment under paragraph (b) and make it available to the competent supervisory authority on request.</w:t>
      </w:r>
    </w:p>
    <w:p w14:paraId="0A494E86"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[For Module Three: The data exporter shall forward the notification to the controller.]</w:t>
      </w:r>
    </w:p>
    <w:p w14:paraId="395620A1"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[for Module Three: , if appropriate in consultation with the controller]. The data exporter shall suspend the data transfer if it considers that no appropriate safeguards for such transfer can be ensured, or if instructed by [for Module Three: the controller or]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 </w:t>
      </w:r>
      <w:r>
        <w:rPr>
          <w:rFonts w:ascii="Times New Roman" w:hAnsi="Times New Roman"/>
          <w:noProof/>
          <w:color w:val="444444"/>
          <w:sz w:val="27"/>
          <w:szCs w:val="27"/>
          <w:shd w:val="clear" w:color="auto" w:fill="FFFFFF"/>
        </w:rPr>
        <w:t xml:space="preserve"> </w:t>
      </w:r>
    </w:p>
    <w:p w14:paraId="382E91F0"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15</w:t>
      </w:r>
    </w:p>
    <w:p w14:paraId="6DA168AB"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Obligations of the data importer in case of access by public authorities</w:t>
      </w:r>
    </w:p>
    <w:p w14:paraId="64396912" w14:textId="77777777" w:rsidR="00787FCE" w:rsidRDefault="00787FCE">
      <w:pPr>
        <w:spacing w:before="120" w:after="120" w:line="240" w:lineRule="auto"/>
        <w:jc w:val="both"/>
        <w:rPr>
          <w:rFonts w:ascii="Times New Roman" w:hAnsi="Times New Roman"/>
          <w:b/>
          <w:noProof/>
          <w:sz w:val="24"/>
        </w:rPr>
      </w:pPr>
    </w:p>
    <w:p w14:paraId="0980C89C" w14:textId="77777777" w:rsidR="00787FCE" w:rsidRDefault="007C35F4">
      <w:pPr>
        <w:spacing w:before="240" w:after="120" w:line="240" w:lineRule="auto"/>
        <w:ind w:left="851" w:hanging="851"/>
        <w:jc w:val="both"/>
        <w:rPr>
          <w:rFonts w:ascii="Times New Roman" w:hAnsi="Times New Roman"/>
          <w:b/>
          <w:noProof/>
          <w:sz w:val="24"/>
        </w:rPr>
      </w:pPr>
      <w:r>
        <w:rPr>
          <w:rFonts w:ascii="Times New Roman" w:hAnsi="Times New Roman"/>
          <w:b/>
          <w:noProof/>
          <w:sz w:val="24"/>
        </w:rPr>
        <w:t>15.1</w:t>
      </w:r>
      <w:r>
        <w:rPr>
          <w:rFonts w:ascii="Times New Roman" w:hAnsi="Times New Roman"/>
          <w:b/>
          <w:noProof/>
          <w:sz w:val="24"/>
        </w:rPr>
        <w:tab/>
        <w:t>Notification</w:t>
      </w:r>
    </w:p>
    <w:p w14:paraId="2C9CBFD2" w14:textId="77777777" w:rsidR="00787FCE" w:rsidRDefault="007C35F4">
      <w:pPr>
        <w:numPr>
          <w:ilvl w:val="1"/>
          <w:numId w:val="23"/>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agrees to notify the data exporter and, where possible, the data subject promptly (if necessary with the help of the data exporter) if it: </w:t>
      </w:r>
    </w:p>
    <w:p w14:paraId="1477A924"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4DA0995A"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lastRenderedPageBreak/>
        <w:t>becomes aware of any direct access by public authorities to personal data transferred pursuant to these Clauses in accordance with the laws of the country of destination; such notification shall include all information available to the importer.</w:t>
      </w:r>
    </w:p>
    <w:p w14:paraId="2527F248" w14:textId="77777777" w:rsidR="00787FCE" w:rsidRDefault="007C35F4">
      <w:pPr>
        <w:numPr>
          <w:ilvl w:val="1"/>
          <w:numId w:val="0"/>
        </w:numPr>
        <w:spacing w:before="120" w:after="120" w:line="240" w:lineRule="auto"/>
        <w:ind w:left="850"/>
        <w:jc w:val="both"/>
        <w:rPr>
          <w:rFonts w:ascii="Times New Roman" w:hAnsi="Times New Roman"/>
          <w:noProof/>
          <w:sz w:val="24"/>
        </w:rPr>
      </w:pPr>
      <w:r>
        <w:rPr>
          <w:rFonts w:ascii="Times New Roman" w:hAnsi="Times New Roman"/>
          <w:noProof/>
          <w:sz w:val="24"/>
        </w:rPr>
        <w:t>[For Module Three: The data exporter shall forward the notification to the controller.]</w:t>
      </w:r>
    </w:p>
    <w:p w14:paraId="08866CCE"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 </w:t>
      </w:r>
    </w:p>
    <w:p w14:paraId="2808DA9A"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[For Module Three: The data exporter shall forward the information to the controller.]</w:t>
      </w:r>
    </w:p>
    <w:p w14:paraId="76B70F86"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agrees to preserve the information pursuant to paragraphs (a) to (c) for the duration of the contract and make it available to the competent supervisory authority on request. </w:t>
      </w:r>
    </w:p>
    <w:p w14:paraId="67DB6FC1"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Paragraphs (a) to (c) are without prejudice to the obligation of the data importer pursuant to Clause 14(e) and Clause 16 to inform the data exporter promptly where it is unable to comply with these Clauses.</w:t>
      </w:r>
    </w:p>
    <w:p w14:paraId="685B247D" w14:textId="77777777" w:rsidR="00787FCE" w:rsidRDefault="007C35F4">
      <w:pPr>
        <w:spacing w:before="480" w:after="120" w:line="240" w:lineRule="auto"/>
        <w:ind w:left="851" w:hanging="851"/>
        <w:jc w:val="both"/>
        <w:rPr>
          <w:rFonts w:ascii="Times New Roman" w:hAnsi="Times New Roman"/>
          <w:b/>
          <w:noProof/>
          <w:sz w:val="24"/>
        </w:rPr>
      </w:pPr>
      <w:r>
        <w:rPr>
          <w:rFonts w:ascii="Times New Roman" w:hAnsi="Times New Roman"/>
          <w:b/>
          <w:noProof/>
          <w:sz w:val="24"/>
        </w:rPr>
        <w:t>15.2</w:t>
      </w:r>
      <w:r>
        <w:rPr>
          <w:rFonts w:ascii="Times New Roman" w:hAnsi="Times New Roman"/>
          <w:b/>
          <w:noProof/>
          <w:sz w:val="24"/>
        </w:rPr>
        <w:tab/>
        <w:t>Review of legality and data minimisation</w:t>
      </w:r>
    </w:p>
    <w:p w14:paraId="0B93C666" w14:textId="77777777" w:rsidR="00787FCE" w:rsidRDefault="007C35F4">
      <w:pPr>
        <w:numPr>
          <w:ilvl w:val="1"/>
          <w:numId w:val="24"/>
        </w:numPr>
        <w:spacing w:before="120" w:after="120" w:line="240" w:lineRule="auto"/>
        <w:jc w:val="both"/>
        <w:rPr>
          <w:rFonts w:ascii="Times New Roman" w:hAnsi="Times New Roman"/>
          <w:noProof/>
          <w:sz w:val="24"/>
        </w:rPr>
      </w:pPr>
      <w:r>
        <w:rPr>
          <w:rFonts w:ascii="Times New Roman" w:hAnsi="Times New Roman"/>
          <w:noProof/>
          <w:sz w:val="24"/>
        </w:rPr>
        <w:t>The data importer agrees to review the legality of the request for disclosure, in particular whether it remains within the powers granted to the requesting public authority, and to challenge the request if, after careful assessment,</w:t>
      </w:r>
      <w:r w:rsidRPr="00387699">
        <w:rPr>
          <w:rFonts w:ascii="Times New Roman" w:hAnsi="Times New Roman" w:cs="Calibri"/>
          <w:noProof/>
          <w:sz w:val="24"/>
        </w:rPr>
        <w:t xml:space="preserve"> it </w:t>
      </w:r>
      <w:r>
        <w:rPr>
          <w:rFonts w:ascii="Times New Roman" w:hAnsi="Times New Roman"/>
          <w:noProof/>
          <w:sz w:val="24"/>
        </w:rPr>
        <w:t>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3F2EFB9D"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lang w:val="en-IE"/>
        </w:rPr>
        <w:t xml:space="preserve">The data importer agrees to document its legal assessment and any challenge to the request for disclosure and, to the extent permissible under the laws of the country of destination, make the documentation available to the data exporter. It shall also make </w:t>
      </w:r>
      <w:r>
        <w:rPr>
          <w:rFonts w:ascii="Times New Roman" w:hAnsi="Times New Roman"/>
          <w:noProof/>
          <w:sz w:val="24"/>
          <w:lang w:val="en-IE"/>
        </w:rPr>
        <w:lastRenderedPageBreak/>
        <w:t xml:space="preserve">it available to the competent supervisory authority on request. [For Module Three: </w:t>
      </w:r>
      <w:r>
        <w:rPr>
          <w:rFonts w:ascii="Times New Roman" w:hAnsi="Times New Roman"/>
          <w:noProof/>
          <w:sz w:val="24"/>
        </w:rPr>
        <w:t>The data exporter shall make the assessment available to the controller.]</w:t>
      </w:r>
      <w:r>
        <w:rPr>
          <w:rFonts w:ascii="Times New Roman" w:hAnsi="Times New Roman"/>
          <w:noProof/>
          <w:sz w:val="24"/>
          <w:lang w:val="en-IE"/>
        </w:rPr>
        <w:t xml:space="preserve"> </w:t>
      </w:r>
    </w:p>
    <w:p w14:paraId="08779798"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lang w:val="en-IE"/>
        </w:rPr>
        <w:t>The data importer agrees to provide the minimum amount of information permissible when responding to a request for disclosure, based on a reasonable interpretation of the request.</w:t>
      </w:r>
    </w:p>
    <w:p w14:paraId="6EFF68B9" w14:textId="77777777" w:rsidR="00787FCE" w:rsidRDefault="00787FCE">
      <w:pPr>
        <w:spacing w:before="120" w:after="120" w:line="240" w:lineRule="auto"/>
        <w:ind w:left="850"/>
        <w:jc w:val="both"/>
        <w:rPr>
          <w:rFonts w:ascii="Times New Roman" w:hAnsi="Times New Roman"/>
          <w:noProof/>
          <w:sz w:val="24"/>
        </w:rPr>
      </w:pPr>
    </w:p>
    <w:p w14:paraId="57617E7C" w14:textId="77777777" w:rsidR="00787FCE" w:rsidRDefault="0081607A">
      <w:pPr>
        <w:spacing w:before="120" w:after="120" w:line="240" w:lineRule="auto"/>
        <w:jc w:val="center"/>
        <w:rPr>
          <w:rFonts w:ascii="Times New Roman" w:hAnsi="Times New Roman"/>
          <w:b/>
          <w:noProof/>
          <w:sz w:val="24"/>
          <w:u w:val="single"/>
        </w:rPr>
      </w:pPr>
      <w:r>
        <w:rPr>
          <w:rFonts w:ascii="Times New Roman" w:hAnsi="Times New Roman"/>
          <w:b/>
          <w:noProof/>
          <w:sz w:val="24"/>
          <w:u w:val="single"/>
        </w:rPr>
        <w:br w:type="page"/>
      </w:r>
      <w:r w:rsidR="007C35F4">
        <w:rPr>
          <w:rFonts w:ascii="Times New Roman" w:hAnsi="Times New Roman"/>
          <w:b/>
          <w:noProof/>
          <w:sz w:val="24"/>
          <w:u w:val="single"/>
        </w:rPr>
        <w:lastRenderedPageBreak/>
        <w:t>SECTION IV – FINAL PROVISIONS</w:t>
      </w:r>
    </w:p>
    <w:p w14:paraId="523E4FDC"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16</w:t>
      </w:r>
    </w:p>
    <w:p w14:paraId="3B8A8B94"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Non-compliance with the Clauses and termination</w:t>
      </w:r>
    </w:p>
    <w:p w14:paraId="4D1992BE" w14:textId="77777777" w:rsidR="00787FCE" w:rsidRDefault="007C35F4">
      <w:pPr>
        <w:numPr>
          <w:ilvl w:val="1"/>
          <w:numId w:val="34"/>
        </w:numPr>
        <w:spacing w:before="120" w:after="120" w:line="240" w:lineRule="auto"/>
        <w:jc w:val="both"/>
        <w:rPr>
          <w:rFonts w:ascii="Times New Roman" w:hAnsi="Times New Roman"/>
          <w:noProof/>
          <w:sz w:val="24"/>
        </w:rPr>
      </w:pPr>
      <w:r>
        <w:rPr>
          <w:rFonts w:ascii="Times New Roman" w:hAnsi="Times New Roman"/>
          <w:noProof/>
          <w:sz w:val="24"/>
        </w:rPr>
        <w:t xml:space="preserve">The data importer shall promptly inform the data exporter if it is unable to comply with these Clauses, for whatever reason. </w:t>
      </w:r>
    </w:p>
    <w:p w14:paraId="691F6507"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473ADDC" w14:textId="77777777" w:rsidR="00787FCE" w:rsidRDefault="007C35F4">
      <w:pPr>
        <w:numPr>
          <w:ilvl w:val="1"/>
          <w:numId w:val="46"/>
        </w:numPr>
        <w:spacing w:before="120" w:after="120" w:line="240" w:lineRule="auto"/>
        <w:jc w:val="both"/>
        <w:rPr>
          <w:rFonts w:ascii="Times New Roman" w:hAnsi="Times New Roman"/>
          <w:noProof/>
          <w:sz w:val="24"/>
        </w:rPr>
      </w:pPr>
      <w:r>
        <w:rPr>
          <w:rFonts w:ascii="Times New Roman" w:hAnsi="Times New Roman"/>
          <w:noProof/>
          <w:sz w:val="24"/>
        </w:rPr>
        <w:t>The data exporter shall be entitled to terminate the contract, insofar as it concerns the processing of personal data under these Clauses, where:</w:t>
      </w:r>
    </w:p>
    <w:p w14:paraId="14E1B57B"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 xml:space="preserve">the data exporter has suspended the transfer of personal data to the data importer pursuant to paragraph (b) and compliance with these Clauses is not restored within a reasonable time and in any event within one month of suspension; </w:t>
      </w:r>
    </w:p>
    <w:p w14:paraId="31FBDA2B"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is in substantial or persistent breach of these Clauses; or</w:t>
      </w:r>
    </w:p>
    <w:p w14:paraId="25ED7D16" w14:textId="77777777" w:rsidR="00787FCE" w:rsidRDefault="007C35F4">
      <w:pPr>
        <w:numPr>
          <w:ilvl w:val="3"/>
          <w:numId w:val="46"/>
        </w:numPr>
        <w:spacing w:before="120" w:after="120" w:line="240" w:lineRule="auto"/>
        <w:jc w:val="both"/>
        <w:rPr>
          <w:rFonts w:ascii="Times New Roman" w:hAnsi="Times New Roman"/>
          <w:noProof/>
          <w:sz w:val="24"/>
        </w:rPr>
      </w:pPr>
      <w:r>
        <w:rPr>
          <w:rFonts w:ascii="Times New Roman" w:hAnsi="Times New Roman"/>
          <w:noProof/>
          <w:sz w:val="24"/>
        </w:rPr>
        <w:t>the data importer fails to comply with a binding decision of a competent court or supervisory authority regarding its obligations under these Clauses.</w:t>
      </w:r>
    </w:p>
    <w:p w14:paraId="22E48A30" w14:textId="77777777" w:rsidR="00787FCE" w:rsidRDefault="007C35F4">
      <w:pPr>
        <w:numPr>
          <w:ilvl w:val="1"/>
          <w:numId w:val="0"/>
        </w:numPr>
        <w:spacing w:before="120" w:after="120" w:line="240" w:lineRule="auto"/>
        <w:ind w:left="850"/>
        <w:jc w:val="both"/>
        <w:rPr>
          <w:rFonts w:ascii="Times New Roman" w:hAnsi="Times New Roman"/>
          <w:noProof/>
          <w:sz w:val="24"/>
        </w:rPr>
      </w:pPr>
      <w:r>
        <w:rPr>
          <w:rFonts w:ascii="Times New Roman" w:hAnsi="Times New Roman"/>
          <w:noProof/>
          <w:sz w:val="24"/>
        </w:rPr>
        <w:t xml:space="preserve">In these cases, it shall inform the competent supervisory authority [for Module Three: and the controller] of such non-compliance. Where the contract involves more than two Parties, the data exporter may exercise this right to termination only with respect to the relevant Party, unless the Parties have agreed otherwise. </w:t>
      </w:r>
    </w:p>
    <w:p w14:paraId="34961B12" w14:textId="77777777" w:rsidR="00787FCE" w:rsidRDefault="007C35F4">
      <w:pPr>
        <w:numPr>
          <w:ilvl w:val="1"/>
          <w:numId w:val="34"/>
        </w:numPr>
        <w:spacing w:before="120" w:after="120" w:line="240" w:lineRule="auto"/>
        <w:jc w:val="both"/>
        <w:rPr>
          <w:rFonts w:ascii="Times New Roman" w:hAnsi="Times New Roman"/>
          <w:noProof/>
          <w:sz w:val="24"/>
        </w:rPr>
      </w:pPr>
      <w:r>
        <w:rPr>
          <w:rFonts w:ascii="Times New Roman" w:hAnsi="Times New Roman"/>
          <w:noProof/>
          <w:sz w:val="24"/>
        </w:rPr>
        <w:t xml:space="preserve">[For Modules One, Two and Three: Personal data that has been transferred prior to the termination of the contract pursuant to paragraph (c) shall at the choice of the data exporter immediately be returned to the data exporter or deleted in its entirety. The same shall apply to any copies of the data.] [For Module Four: Personal data collected by the data exporter in the EU that has been transferred prior to the termination of the contract pursuant to paragraph (c) shall immediately be deleted in its entirety, including any copy thereof.]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 </w:t>
      </w:r>
    </w:p>
    <w:p w14:paraId="7D994DE3" w14:textId="77777777" w:rsidR="00787FCE" w:rsidRDefault="007C35F4">
      <w:pPr>
        <w:numPr>
          <w:ilvl w:val="1"/>
          <w:numId w:val="34"/>
        </w:numPr>
        <w:spacing w:before="120" w:after="120" w:line="240" w:lineRule="auto"/>
        <w:jc w:val="both"/>
        <w:rPr>
          <w:rFonts w:ascii="Times New Roman" w:hAnsi="Times New Roman"/>
          <w:noProof/>
          <w:sz w:val="24"/>
        </w:rPr>
      </w:pPr>
      <w:r>
        <w:rPr>
          <w:rFonts w:ascii="Times New Roman" w:hAnsi="Times New Roman"/>
          <w:noProof/>
          <w:sz w:val="24"/>
        </w:rPr>
        <w:t xml:space="preserve">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w:t>
      </w:r>
      <w:r>
        <w:rPr>
          <w:rFonts w:ascii="Times New Roman" w:hAnsi="Times New Roman"/>
          <w:noProof/>
          <w:sz w:val="24"/>
        </w:rPr>
        <w:lastRenderedPageBreak/>
        <w:t xml:space="preserve">to which the personal data is transferred. This is without prejudice to other obligations applying to the processing in question under Regulation (EU) 2016/679. </w:t>
      </w:r>
    </w:p>
    <w:p w14:paraId="7D4E012F"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17</w:t>
      </w:r>
    </w:p>
    <w:p w14:paraId="349074DE"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Governing law</w:t>
      </w:r>
    </w:p>
    <w:p w14:paraId="24E027D1" w14:textId="77777777" w:rsidR="00787FCE" w:rsidRDefault="0081607A">
      <w:pPr>
        <w:spacing w:before="120" w:after="120" w:line="240" w:lineRule="auto"/>
        <w:jc w:val="both"/>
        <w:rPr>
          <w:rFonts w:ascii="Times New Roman" w:hAnsi="Times New Roman"/>
          <w:noProof/>
          <w:sz w:val="24"/>
        </w:rPr>
      </w:pPr>
      <w:r>
        <w:rPr>
          <w:rFonts w:ascii="Times New Roman" w:hAnsi="Times New Roman"/>
          <w:noProof/>
          <w:sz w:val="24"/>
        </w:rPr>
        <w:t xml:space="preserve"> </w:t>
      </w:r>
      <w:r w:rsidR="007C35F4">
        <w:rPr>
          <w:rFonts w:ascii="Times New Roman" w:hAnsi="Times New Roman"/>
          <w:noProof/>
          <w:sz w:val="24"/>
        </w:rPr>
        <w:t>[OPTION 1: These Clauses shall be governed by the law of one of the EU Member States, provided such law allows for third-party beneficiary rights. The Parties agree that this shall be the law of _______ (</w:t>
      </w:r>
      <w:r w:rsidR="007C35F4">
        <w:rPr>
          <w:rFonts w:ascii="Times New Roman" w:hAnsi="Times New Roman"/>
          <w:i/>
          <w:noProof/>
          <w:sz w:val="24"/>
        </w:rPr>
        <w:t>specify Member State</w:t>
      </w:r>
      <w:r w:rsidR="007C35F4">
        <w:rPr>
          <w:rFonts w:ascii="Times New Roman" w:hAnsi="Times New Roman"/>
          <w:noProof/>
          <w:sz w:val="24"/>
        </w:rPr>
        <w:t xml:space="preserve">).] </w:t>
      </w:r>
    </w:p>
    <w:p w14:paraId="4664351F"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[OPTION 2 (for Modules Two and Three): 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_______ (</w:t>
      </w:r>
      <w:r>
        <w:rPr>
          <w:rFonts w:ascii="Times New Roman" w:hAnsi="Times New Roman"/>
          <w:i/>
          <w:noProof/>
          <w:sz w:val="24"/>
        </w:rPr>
        <w:t>specify Member State</w:t>
      </w:r>
      <w:r>
        <w:rPr>
          <w:rFonts w:ascii="Times New Roman" w:hAnsi="Times New Roman"/>
          <w:noProof/>
          <w:sz w:val="24"/>
        </w:rPr>
        <w:t xml:space="preserve">).]  </w:t>
      </w:r>
    </w:p>
    <w:p w14:paraId="0D56C8F2" w14:textId="77777777" w:rsidR="00787FCE" w:rsidRDefault="007C35F4">
      <w:pPr>
        <w:keepNext/>
        <w:spacing w:before="480" w:after="120" w:line="240" w:lineRule="auto"/>
        <w:jc w:val="center"/>
        <w:rPr>
          <w:rFonts w:ascii="Times New Roman" w:hAnsi="Times New Roman"/>
          <w:i/>
          <w:noProof/>
          <w:sz w:val="24"/>
        </w:rPr>
      </w:pPr>
      <w:r>
        <w:rPr>
          <w:rFonts w:ascii="Times New Roman" w:hAnsi="Times New Roman"/>
          <w:i/>
          <w:noProof/>
          <w:sz w:val="24"/>
        </w:rPr>
        <w:t>Clause 18</w:t>
      </w:r>
    </w:p>
    <w:p w14:paraId="5567A7DB" w14:textId="77777777" w:rsidR="00787FCE" w:rsidRDefault="007C35F4">
      <w:pPr>
        <w:numPr>
          <w:ilvl w:val="1"/>
          <w:numId w:val="0"/>
        </w:numPr>
        <w:spacing w:before="120" w:after="120" w:line="240" w:lineRule="auto"/>
        <w:jc w:val="center"/>
        <w:rPr>
          <w:rFonts w:ascii="Times New Roman" w:hAnsi="Times New Roman"/>
          <w:b/>
          <w:i/>
          <w:noProof/>
          <w:sz w:val="24"/>
        </w:rPr>
      </w:pPr>
      <w:r>
        <w:rPr>
          <w:rFonts w:ascii="Times New Roman" w:hAnsi="Times New Roman"/>
          <w:b/>
          <w:i/>
          <w:noProof/>
          <w:sz w:val="24"/>
        </w:rPr>
        <w:t>Choice of forum and jurisdiction</w:t>
      </w:r>
    </w:p>
    <w:p w14:paraId="049F6264" w14:textId="77777777" w:rsidR="00787FCE" w:rsidRDefault="007C35F4">
      <w:pPr>
        <w:numPr>
          <w:ilvl w:val="1"/>
          <w:numId w:val="38"/>
        </w:numPr>
        <w:spacing w:before="120" w:after="120" w:line="240" w:lineRule="auto"/>
        <w:jc w:val="both"/>
        <w:rPr>
          <w:rFonts w:ascii="Times New Roman" w:hAnsi="Times New Roman"/>
          <w:noProof/>
          <w:sz w:val="24"/>
        </w:rPr>
      </w:pPr>
      <w:r>
        <w:rPr>
          <w:rFonts w:ascii="Times New Roman" w:hAnsi="Times New Roman"/>
          <w:noProof/>
          <w:sz w:val="24"/>
        </w:rPr>
        <w:t>Any dispute arising from these Clauses shall be resolved by the courts of an EU Member State.</w:t>
      </w:r>
    </w:p>
    <w:p w14:paraId="718E4408" w14:textId="77777777" w:rsidR="00787FCE" w:rsidRDefault="007C35F4">
      <w:pPr>
        <w:numPr>
          <w:ilvl w:val="1"/>
          <w:numId w:val="34"/>
        </w:numPr>
        <w:spacing w:before="120" w:after="120" w:line="240" w:lineRule="auto"/>
        <w:jc w:val="both"/>
        <w:rPr>
          <w:rFonts w:ascii="Times New Roman" w:hAnsi="Times New Roman"/>
          <w:noProof/>
          <w:sz w:val="24"/>
        </w:rPr>
      </w:pPr>
      <w:r>
        <w:rPr>
          <w:rFonts w:ascii="Times New Roman" w:hAnsi="Times New Roman"/>
          <w:noProof/>
          <w:sz w:val="24"/>
        </w:rPr>
        <w:t>The Parties agree that those shall be the courts of _____ (</w:t>
      </w:r>
      <w:r>
        <w:rPr>
          <w:rFonts w:ascii="Times New Roman" w:hAnsi="Times New Roman"/>
          <w:i/>
          <w:noProof/>
          <w:sz w:val="24"/>
        </w:rPr>
        <w:t>specify Member State</w:t>
      </w:r>
      <w:r>
        <w:rPr>
          <w:rFonts w:ascii="Times New Roman" w:hAnsi="Times New Roman"/>
          <w:noProof/>
          <w:sz w:val="24"/>
        </w:rPr>
        <w:t>).</w:t>
      </w:r>
    </w:p>
    <w:p w14:paraId="79D4DF76" w14:textId="77777777" w:rsidR="00787FCE" w:rsidRDefault="007C35F4">
      <w:pPr>
        <w:numPr>
          <w:ilvl w:val="1"/>
          <w:numId w:val="34"/>
        </w:numPr>
        <w:spacing w:before="120" w:after="120" w:line="240" w:lineRule="auto"/>
        <w:jc w:val="both"/>
        <w:rPr>
          <w:rFonts w:ascii="Times New Roman" w:hAnsi="Times New Roman"/>
          <w:noProof/>
          <w:sz w:val="24"/>
        </w:rPr>
      </w:pPr>
      <w:r>
        <w:rPr>
          <w:rFonts w:ascii="Times New Roman" w:hAnsi="Times New Roman"/>
          <w:noProof/>
          <w:sz w:val="24"/>
        </w:rPr>
        <w:t xml:space="preserve">A data subject may also bring legal proceedings against the data exporter and/or data importer before the courts of the Member State in which he/she has his/her habitual residence. </w:t>
      </w:r>
    </w:p>
    <w:p w14:paraId="768DBC1B" w14:textId="77777777" w:rsidR="00787FCE" w:rsidRDefault="007C35F4">
      <w:pPr>
        <w:numPr>
          <w:ilvl w:val="1"/>
          <w:numId w:val="34"/>
        </w:numPr>
        <w:spacing w:before="120" w:after="120" w:line="240" w:lineRule="auto"/>
        <w:jc w:val="both"/>
        <w:rPr>
          <w:rFonts w:ascii="Times New Roman" w:hAnsi="Times New Roman"/>
          <w:noProof/>
          <w:sz w:val="24"/>
        </w:rPr>
      </w:pPr>
      <w:r>
        <w:rPr>
          <w:rFonts w:ascii="Times New Roman" w:hAnsi="Times New Roman"/>
          <w:noProof/>
          <w:sz w:val="24"/>
        </w:rPr>
        <w:t>The Parties agree to submit themselves to the jurisdiction of such courts.</w:t>
      </w:r>
    </w:p>
    <w:p w14:paraId="36765CF5" w14:textId="77777777" w:rsidR="00787FCE" w:rsidRPr="00387699" w:rsidRDefault="00787FCE">
      <w:pPr>
        <w:rPr>
          <w:rFonts w:ascii="Times New Roman" w:hAnsi="Times New Roman"/>
          <w:b/>
          <w:noProof/>
          <w:sz w:val="24"/>
          <w:highlight w:val="lightGray"/>
        </w:rPr>
      </w:pPr>
    </w:p>
    <w:p w14:paraId="75D8F44C" w14:textId="77777777" w:rsidR="00787FCE" w:rsidRDefault="007C35F4">
      <w:pPr>
        <w:jc w:val="both"/>
        <w:rPr>
          <w:rFonts w:ascii="Times New Roman" w:hAnsi="Times New Roman"/>
          <w:noProof/>
          <w:sz w:val="24"/>
        </w:rPr>
      </w:pPr>
      <w:r>
        <w:rPr>
          <w:rFonts w:ascii="Times New Roman" w:hAnsi="Times New Roman"/>
          <w:noProof/>
          <w:sz w:val="24"/>
        </w:rPr>
        <w:br w:type="page"/>
      </w:r>
    </w:p>
    <w:p w14:paraId="1F210AE3" w14:textId="77777777" w:rsidR="00787FCE" w:rsidRDefault="007C35F4">
      <w:pPr>
        <w:spacing w:before="120" w:after="120" w:line="240" w:lineRule="auto"/>
        <w:jc w:val="center"/>
        <w:rPr>
          <w:rFonts w:ascii="Times New Roman" w:hAnsi="Times New Roman"/>
          <w:b/>
          <w:noProof/>
          <w:sz w:val="24"/>
          <w:u w:val="single"/>
        </w:rPr>
      </w:pPr>
      <w:r>
        <w:rPr>
          <w:rFonts w:ascii="Times New Roman" w:hAnsi="Times New Roman"/>
          <w:b/>
          <w:noProof/>
          <w:sz w:val="24"/>
          <w:u w:val="single"/>
        </w:rPr>
        <w:t xml:space="preserve">APPENDIX </w:t>
      </w:r>
    </w:p>
    <w:p w14:paraId="51AB62EE"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EXPLANATORY NOTE: </w:t>
      </w:r>
    </w:p>
    <w:p w14:paraId="36FF34B4" w14:textId="77777777" w:rsidR="00787FCE" w:rsidRDefault="007C35F4">
      <w:pPr>
        <w:spacing w:before="120" w:after="120" w:line="240" w:lineRule="auto"/>
        <w:jc w:val="both"/>
        <w:rPr>
          <w:rFonts w:ascii="Times New Roman" w:hAnsi="Times New Roman"/>
          <w:b/>
          <w:noProof/>
          <w:sz w:val="24"/>
          <w:u w:val="single"/>
        </w:rPr>
      </w:pPr>
      <w:r>
        <w:rPr>
          <w:rFonts w:ascii="Times New Roman" w:hAnsi="Times New Roman"/>
          <w:noProof/>
          <w:sz w:val="24"/>
        </w:rPr>
        <w:t>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achieved through one appendix. However, where necessary to ensure sufficient clarity, separate appendices should be used.</w:t>
      </w:r>
    </w:p>
    <w:p w14:paraId="7795BAF9" w14:textId="77777777" w:rsidR="00787FCE" w:rsidRDefault="007C35F4">
      <w:pPr>
        <w:spacing w:before="240" w:after="120" w:line="240" w:lineRule="auto"/>
        <w:jc w:val="both"/>
        <w:rPr>
          <w:rFonts w:ascii="Times New Roman" w:hAnsi="Times New Roman"/>
          <w:b/>
          <w:noProof/>
          <w:sz w:val="24"/>
          <w:u w:val="single"/>
        </w:rPr>
      </w:pPr>
      <w:r>
        <w:rPr>
          <w:rFonts w:ascii="Times New Roman" w:hAnsi="Times New Roman"/>
          <w:b/>
          <w:noProof/>
          <w:sz w:val="24"/>
          <w:u w:val="single"/>
        </w:rPr>
        <w:t>ANNEX I</w:t>
      </w:r>
    </w:p>
    <w:p w14:paraId="4632DDA4" w14:textId="77777777" w:rsidR="00787FCE" w:rsidRDefault="007C35F4">
      <w:pPr>
        <w:spacing w:before="240" w:after="120" w:line="240" w:lineRule="auto"/>
        <w:ind w:left="851"/>
        <w:jc w:val="both"/>
        <w:rPr>
          <w:rFonts w:ascii="Times New Roman" w:hAnsi="Times New Roman"/>
          <w:b/>
          <w:noProof/>
          <w:sz w:val="24"/>
        </w:rPr>
      </w:pPr>
      <w:r>
        <w:rPr>
          <w:rFonts w:ascii="Times New Roman" w:hAnsi="Times New Roman"/>
          <w:b/>
          <w:noProof/>
          <w:sz w:val="24"/>
        </w:rPr>
        <w:t>A. LIST OF PARTIES</w:t>
      </w:r>
    </w:p>
    <w:p w14:paraId="286DA7BC" w14:textId="77777777" w:rsidR="00787FCE" w:rsidRDefault="00787FCE">
      <w:pPr>
        <w:spacing w:before="120" w:after="120" w:line="240" w:lineRule="auto"/>
        <w:jc w:val="both"/>
        <w:rPr>
          <w:rFonts w:ascii="Times New Roman" w:hAnsi="Times New Roman"/>
          <w:b/>
          <w:noProof/>
          <w:sz w:val="24"/>
        </w:rPr>
      </w:pPr>
    </w:p>
    <w:p w14:paraId="11C891E5" w14:textId="77777777" w:rsidR="00787FCE" w:rsidRDefault="007C35F4">
      <w:pPr>
        <w:spacing w:before="120" w:after="120" w:line="240" w:lineRule="auto"/>
        <w:jc w:val="both"/>
        <w:rPr>
          <w:rFonts w:ascii="Times New Roman" w:hAnsi="Times New Roman"/>
          <w:i/>
          <w:noProof/>
          <w:sz w:val="24"/>
        </w:rPr>
      </w:pPr>
      <w:r>
        <w:rPr>
          <w:rFonts w:ascii="Times New Roman" w:hAnsi="Times New Roman"/>
          <w:b/>
          <w:noProof/>
          <w:sz w:val="24"/>
        </w:rPr>
        <w:t xml:space="preserve">Data exporter(s): </w:t>
      </w:r>
      <w:r>
        <w:rPr>
          <w:rFonts w:ascii="Times New Roman" w:hAnsi="Times New Roman"/>
          <w:noProof/>
          <w:sz w:val="24"/>
        </w:rPr>
        <w:t>[</w:t>
      </w:r>
      <w:r>
        <w:rPr>
          <w:rFonts w:ascii="Times New Roman" w:hAnsi="Times New Roman"/>
          <w:i/>
          <w:noProof/>
          <w:sz w:val="24"/>
        </w:rPr>
        <w:t xml:space="preserve">Identity and contact details of the data exporter(s) and, where applicable, of its/their data protection officer and/or representative in the European Union] </w:t>
      </w:r>
    </w:p>
    <w:p w14:paraId="5691B351"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1. Name: …</w:t>
      </w:r>
    </w:p>
    <w:p w14:paraId="2E98FBF3"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Address: …</w:t>
      </w:r>
    </w:p>
    <w:p w14:paraId="3E0664BB"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Contact person’s name, position and contact details: …</w:t>
      </w:r>
    </w:p>
    <w:p w14:paraId="16533067"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Activities relevant to the data transferred under these Clauses: …</w:t>
      </w:r>
    </w:p>
    <w:p w14:paraId="1074AA6D"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Signature and date: …</w:t>
      </w:r>
    </w:p>
    <w:p w14:paraId="66BAC441"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Role (controller/processor): …</w:t>
      </w:r>
    </w:p>
    <w:p w14:paraId="2607D558" w14:textId="77777777" w:rsidR="00787FCE" w:rsidRDefault="00787FCE">
      <w:pPr>
        <w:spacing w:before="120" w:after="120" w:line="240" w:lineRule="auto"/>
        <w:jc w:val="both"/>
        <w:rPr>
          <w:rFonts w:ascii="Times New Roman" w:hAnsi="Times New Roman"/>
          <w:noProof/>
          <w:sz w:val="24"/>
        </w:rPr>
      </w:pPr>
    </w:p>
    <w:p w14:paraId="159061BF"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2. …</w:t>
      </w:r>
    </w:p>
    <w:p w14:paraId="5F028885" w14:textId="77777777" w:rsidR="00787FCE" w:rsidRDefault="00787FCE">
      <w:pPr>
        <w:spacing w:before="120" w:after="120" w:line="240" w:lineRule="auto"/>
        <w:jc w:val="both"/>
        <w:rPr>
          <w:rFonts w:ascii="Times New Roman" w:hAnsi="Times New Roman"/>
          <w:noProof/>
          <w:sz w:val="24"/>
        </w:rPr>
      </w:pPr>
    </w:p>
    <w:p w14:paraId="7F3C2FA1" w14:textId="77777777" w:rsidR="00787FCE" w:rsidRDefault="007C35F4">
      <w:pPr>
        <w:spacing w:before="120" w:after="120" w:line="240" w:lineRule="auto"/>
        <w:jc w:val="both"/>
        <w:rPr>
          <w:rFonts w:ascii="Times New Roman" w:hAnsi="Times New Roman"/>
          <w:i/>
          <w:noProof/>
          <w:sz w:val="24"/>
        </w:rPr>
      </w:pPr>
      <w:r>
        <w:rPr>
          <w:rFonts w:ascii="Times New Roman" w:hAnsi="Times New Roman"/>
          <w:b/>
          <w:noProof/>
          <w:sz w:val="24"/>
        </w:rPr>
        <w:t xml:space="preserve">Data importer(s): </w:t>
      </w:r>
      <w:r>
        <w:rPr>
          <w:rFonts w:ascii="Times New Roman" w:hAnsi="Times New Roman"/>
          <w:noProof/>
          <w:sz w:val="24"/>
        </w:rPr>
        <w:t>[</w:t>
      </w:r>
      <w:r>
        <w:rPr>
          <w:rFonts w:ascii="Times New Roman" w:hAnsi="Times New Roman"/>
          <w:i/>
          <w:noProof/>
          <w:sz w:val="24"/>
        </w:rPr>
        <w:t>Identity and contact details of the data importer(s), including any contact person with responsibility for data protection]</w:t>
      </w:r>
    </w:p>
    <w:p w14:paraId="42FC211C"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1. Name: …</w:t>
      </w:r>
    </w:p>
    <w:p w14:paraId="5D8EFF1E"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Address: …</w:t>
      </w:r>
    </w:p>
    <w:p w14:paraId="51DE1AD5"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Contact person’s name, position and contact details: …</w:t>
      </w:r>
    </w:p>
    <w:p w14:paraId="50B83DA9"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Activities relevant to the data transferred under these Clauses: …</w:t>
      </w:r>
    </w:p>
    <w:p w14:paraId="472265E5"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Signature and date: …</w:t>
      </w:r>
    </w:p>
    <w:p w14:paraId="0DABD271"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Role (controller/processor): …</w:t>
      </w:r>
    </w:p>
    <w:p w14:paraId="13B50123" w14:textId="77777777" w:rsidR="00787FCE" w:rsidRDefault="00787FCE">
      <w:pPr>
        <w:spacing w:before="120" w:after="120" w:line="240" w:lineRule="auto"/>
        <w:jc w:val="both"/>
        <w:rPr>
          <w:rFonts w:ascii="Times New Roman" w:hAnsi="Times New Roman"/>
          <w:noProof/>
          <w:sz w:val="24"/>
        </w:rPr>
      </w:pPr>
    </w:p>
    <w:p w14:paraId="21F94527"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2. …</w:t>
      </w:r>
    </w:p>
    <w:p w14:paraId="72DEADCD" w14:textId="77777777" w:rsidR="00787FCE" w:rsidRDefault="007C35F4">
      <w:pPr>
        <w:spacing w:before="240" w:after="120" w:line="240" w:lineRule="auto"/>
        <w:ind w:left="851"/>
        <w:jc w:val="both"/>
        <w:rPr>
          <w:rFonts w:ascii="Times New Roman" w:hAnsi="Times New Roman"/>
          <w:b/>
          <w:noProof/>
          <w:sz w:val="24"/>
        </w:rPr>
      </w:pPr>
      <w:bookmarkStart w:id="1" w:name="_Ref42601435"/>
      <w:r>
        <w:rPr>
          <w:rFonts w:ascii="Times New Roman" w:hAnsi="Times New Roman"/>
          <w:b/>
          <w:noProof/>
          <w:sz w:val="24"/>
        </w:rPr>
        <w:lastRenderedPageBreak/>
        <w:t>B. DESCRIPTION OF TRANSFER</w:t>
      </w:r>
      <w:bookmarkEnd w:id="1"/>
    </w:p>
    <w:p w14:paraId="63BE79FF" w14:textId="77777777" w:rsidR="00787FCE" w:rsidRPr="00387699" w:rsidRDefault="00787FCE">
      <w:pPr>
        <w:spacing w:before="120" w:after="120" w:line="240" w:lineRule="auto"/>
        <w:jc w:val="both"/>
        <w:rPr>
          <w:rFonts w:ascii="Times New Roman" w:hAnsi="Times New Roman"/>
          <w:b/>
          <w:noProof/>
          <w:sz w:val="24"/>
          <w:highlight w:val="lightGray"/>
        </w:rPr>
      </w:pPr>
    </w:p>
    <w:p w14:paraId="1D5B1477"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Categories of data subjects whose personal data is transferred</w:t>
      </w:r>
    </w:p>
    <w:p w14:paraId="4A2CD120"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345FA5CC"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Categories of personal data transferred</w:t>
      </w:r>
    </w:p>
    <w:p w14:paraId="54684F89"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40C01F19"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2575E43D"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36C1D00D"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The frequency of the transfer (e.g. whether the data is transferred on a one-off or continuous basis).</w:t>
      </w:r>
    </w:p>
    <w:p w14:paraId="44575F09"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66E5ADB7"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Nature of the processing</w:t>
      </w:r>
    </w:p>
    <w:p w14:paraId="14463055"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63B8E11A"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Purpose(s) of the data transfer and further processing</w:t>
      </w:r>
    </w:p>
    <w:p w14:paraId="46A09370"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1945063B"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 xml:space="preserve">The period for which the personal data will be retained, or, if that is not possible, the criteria used to determine that period </w:t>
      </w:r>
    </w:p>
    <w:p w14:paraId="080CD769"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6FB07FAE"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For transfers to (sub-) processors, also specify subject matter, nature and duration of the processing</w:t>
      </w:r>
    </w:p>
    <w:p w14:paraId="611F1A50"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w:t>
      </w:r>
    </w:p>
    <w:p w14:paraId="014162AE" w14:textId="77777777" w:rsidR="00787FCE" w:rsidRDefault="00787FCE">
      <w:pPr>
        <w:spacing w:before="120" w:after="120" w:line="240" w:lineRule="auto"/>
        <w:jc w:val="both"/>
        <w:rPr>
          <w:rFonts w:ascii="Times New Roman" w:hAnsi="Times New Roman"/>
          <w:i/>
          <w:noProof/>
          <w:sz w:val="24"/>
        </w:rPr>
      </w:pPr>
    </w:p>
    <w:p w14:paraId="44736B1A" w14:textId="77777777" w:rsidR="00787FCE" w:rsidRDefault="007C35F4">
      <w:pPr>
        <w:rPr>
          <w:rFonts w:ascii="Times New Roman" w:hAnsi="Times New Roman"/>
          <w:b/>
          <w:noProof/>
          <w:sz w:val="24"/>
        </w:rPr>
      </w:pPr>
      <w:r>
        <w:rPr>
          <w:rFonts w:ascii="Times New Roman" w:hAnsi="Times New Roman"/>
          <w:b/>
          <w:noProof/>
          <w:sz w:val="24"/>
        </w:rPr>
        <w:br w:type="page"/>
      </w:r>
    </w:p>
    <w:p w14:paraId="1AE09FA3" w14:textId="77777777" w:rsidR="00787FCE" w:rsidRDefault="007C35F4">
      <w:pPr>
        <w:spacing w:before="120" w:after="120" w:line="240" w:lineRule="auto"/>
        <w:ind w:left="850"/>
        <w:jc w:val="both"/>
        <w:rPr>
          <w:rFonts w:ascii="Times New Roman" w:hAnsi="Times New Roman"/>
          <w:b/>
          <w:noProof/>
          <w:sz w:val="24"/>
        </w:rPr>
      </w:pPr>
      <w:r>
        <w:rPr>
          <w:rFonts w:ascii="Times New Roman" w:hAnsi="Times New Roman"/>
          <w:b/>
          <w:noProof/>
          <w:sz w:val="24"/>
        </w:rPr>
        <w:t>C. COMPETENT SUPERVISORY AUTHORITY</w:t>
      </w:r>
    </w:p>
    <w:p w14:paraId="3658F154" w14:textId="77777777" w:rsidR="00787FCE" w:rsidRDefault="00787FCE">
      <w:pPr>
        <w:spacing w:before="120" w:after="120" w:line="240" w:lineRule="auto"/>
        <w:jc w:val="both"/>
        <w:rPr>
          <w:rFonts w:ascii="Times New Roman" w:hAnsi="Times New Roman"/>
          <w:i/>
          <w:noProof/>
          <w:sz w:val="24"/>
        </w:rPr>
      </w:pPr>
    </w:p>
    <w:p w14:paraId="0D2EF770"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Identify the competent supervisory authority/ies in accordance with Clause 13</w:t>
      </w:r>
    </w:p>
    <w:p w14:paraId="5DD747F2" w14:textId="77777777" w:rsidR="00787FCE" w:rsidRDefault="007C35F4">
      <w:pPr>
        <w:spacing w:before="120" w:after="120" w:line="240" w:lineRule="auto"/>
        <w:jc w:val="both"/>
        <w:rPr>
          <w:rFonts w:ascii="Times New Roman" w:hAnsi="Times New Roman"/>
          <w:b/>
          <w:i/>
          <w:noProof/>
          <w:sz w:val="32"/>
          <w:szCs w:val="32"/>
          <w:u w:val="single"/>
        </w:rPr>
      </w:pPr>
      <w:r>
        <w:rPr>
          <w:rFonts w:ascii="Times New Roman" w:hAnsi="Times New Roman"/>
          <w:i/>
          <w:noProof/>
          <w:sz w:val="24"/>
        </w:rPr>
        <w:t>………………………….</w:t>
      </w:r>
      <w:r>
        <w:rPr>
          <w:rFonts w:ascii="Times New Roman" w:hAnsi="Times New Roman"/>
          <w:b/>
          <w:i/>
          <w:noProof/>
          <w:sz w:val="32"/>
          <w:szCs w:val="32"/>
          <w:u w:val="single"/>
        </w:rPr>
        <w:br w:type="page"/>
      </w:r>
    </w:p>
    <w:p w14:paraId="26EFFAF6" w14:textId="77777777" w:rsidR="00787FCE" w:rsidRDefault="007C35F4">
      <w:pPr>
        <w:spacing w:before="120" w:after="120" w:line="240" w:lineRule="auto"/>
        <w:jc w:val="both"/>
        <w:rPr>
          <w:rFonts w:ascii="Times New Roman" w:hAnsi="Times New Roman"/>
          <w:b/>
          <w:noProof/>
          <w:sz w:val="24"/>
          <w:szCs w:val="24"/>
          <w:u w:val="single"/>
        </w:rPr>
      </w:pPr>
      <w:r>
        <w:rPr>
          <w:rFonts w:ascii="Times New Roman" w:hAnsi="Times New Roman"/>
          <w:b/>
          <w:noProof/>
          <w:sz w:val="24"/>
          <w:u w:val="single"/>
        </w:rPr>
        <w:t xml:space="preserve">ANNEX II - TECHNICAL AND ORGANISATIONAL MEASURES </w:t>
      </w:r>
      <w:r>
        <w:rPr>
          <w:rFonts w:ascii="Times New Roman" w:hAnsi="Times New Roman"/>
          <w:b/>
          <w:noProof/>
          <w:sz w:val="24"/>
          <w:szCs w:val="24"/>
          <w:u w:val="single"/>
        </w:rPr>
        <w:t>INCLUDING TECHNICAL AND ORGANISATIONAL MEASURES TO ENSURE THE SECURITY OF THE DATA</w:t>
      </w:r>
    </w:p>
    <w:p w14:paraId="5F7B865B" w14:textId="77777777" w:rsidR="00787FCE" w:rsidRPr="00387699" w:rsidRDefault="00787FCE">
      <w:pPr>
        <w:spacing w:before="120" w:after="120" w:line="240" w:lineRule="auto"/>
        <w:jc w:val="both"/>
        <w:rPr>
          <w:rFonts w:ascii="Times New Roman" w:hAnsi="Times New Roman"/>
          <w:b/>
          <w:noProof/>
          <w:sz w:val="24"/>
          <w:highlight w:val="lightGray"/>
        </w:rPr>
      </w:pPr>
    </w:p>
    <w:p w14:paraId="20DE4CD8"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EXPLANATORY NOTE: </w:t>
      </w:r>
    </w:p>
    <w:p w14:paraId="0B36B0A5"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The technical and organisational measures must be described in specific (and not generic) terms. See also the general comment on the first page of the Appendix, in particular on the need to clearly indicate which measures apply to each transfer/set of transfers.</w:t>
      </w:r>
    </w:p>
    <w:p w14:paraId="4C2369EE" w14:textId="77777777" w:rsidR="00787FCE" w:rsidRDefault="007C35F4">
      <w:pPr>
        <w:spacing w:before="120" w:after="120" w:line="240" w:lineRule="auto"/>
        <w:jc w:val="both"/>
        <w:rPr>
          <w:rFonts w:ascii="Times New Roman" w:hAnsi="Times New Roman"/>
          <w:i/>
          <w:noProof/>
          <w:sz w:val="24"/>
        </w:rPr>
      </w:pPr>
      <w:r>
        <w:rPr>
          <w:rFonts w:ascii="Times New Roman" w:hAnsi="Times New Roman"/>
          <w:i/>
          <w:noProof/>
          <w:sz w:val="24"/>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05A3ADF3" w14:textId="77777777" w:rsidR="00787FCE" w:rsidRDefault="007C35F4">
      <w:pPr>
        <w:spacing w:before="120" w:after="120" w:line="240" w:lineRule="auto"/>
        <w:contextualSpacing/>
        <w:jc w:val="both"/>
        <w:rPr>
          <w:rFonts w:ascii="Times New Roman" w:hAnsi="Times New Roman"/>
          <w:i/>
          <w:noProof/>
          <w:sz w:val="24"/>
          <w:szCs w:val="24"/>
        </w:rPr>
      </w:pPr>
      <w:r>
        <w:rPr>
          <w:rFonts w:ascii="Times New Roman" w:hAnsi="Times New Roman"/>
          <w:i/>
          <w:noProof/>
          <w:sz w:val="24"/>
          <w:szCs w:val="24"/>
        </w:rPr>
        <w:t>[Examples of possible measures:</w:t>
      </w:r>
    </w:p>
    <w:p w14:paraId="7354F8A0" w14:textId="77777777" w:rsidR="00787FCE" w:rsidRDefault="00787FCE">
      <w:pPr>
        <w:spacing w:before="120" w:after="120" w:line="240" w:lineRule="auto"/>
        <w:contextualSpacing/>
        <w:jc w:val="both"/>
        <w:rPr>
          <w:rFonts w:ascii="Times New Roman" w:hAnsi="Times New Roman"/>
          <w:i/>
          <w:noProof/>
          <w:sz w:val="24"/>
          <w:szCs w:val="24"/>
        </w:rPr>
      </w:pPr>
    </w:p>
    <w:p w14:paraId="1DD2F88E" w14:textId="77777777" w:rsidR="00787FCE" w:rsidRDefault="007C35F4">
      <w:pPr>
        <w:spacing w:before="120" w:after="120" w:line="240" w:lineRule="auto"/>
        <w:ind w:firstLine="720"/>
        <w:contextualSpacing/>
        <w:jc w:val="both"/>
        <w:rPr>
          <w:rFonts w:ascii="Times New Roman" w:hAnsi="Times New Roman"/>
          <w:i/>
          <w:noProof/>
          <w:sz w:val="24"/>
          <w:szCs w:val="24"/>
          <w:u w:val="single"/>
        </w:rPr>
      </w:pPr>
      <w:r>
        <w:rPr>
          <w:rFonts w:ascii="Times New Roman" w:hAnsi="Times New Roman"/>
          <w:i/>
          <w:noProof/>
          <w:sz w:val="24"/>
          <w:szCs w:val="24"/>
        </w:rPr>
        <w:t>Measures of pseudonymisation and encryption of personal data</w:t>
      </w:r>
    </w:p>
    <w:p w14:paraId="41961EC0" w14:textId="77777777" w:rsidR="00787FCE" w:rsidRDefault="00787FCE">
      <w:pPr>
        <w:spacing w:before="120" w:after="120" w:line="240" w:lineRule="auto"/>
        <w:contextualSpacing/>
        <w:jc w:val="both"/>
        <w:rPr>
          <w:rFonts w:ascii="Times New Roman" w:hAnsi="Times New Roman"/>
          <w:i/>
          <w:noProof/>
          <w:sz w:val="24"/>
          <w:szCs w:val="24"/>
        </w:rPr>
      </w:pPr>
    </w:p>
    <w:p w14:paraId="37268A4F" w14:textId="77777777" w:rsidR="00787FCE" w:rsidRDefault="007C35F4">
      <w:pPr>
        <w:spacing w:before="120" w:after="120" w:line="240" w:lineRule="auto"/>
        <w:ind w:left="720"/>
        <w:contextualSpacing/>
        <w:jc w:val="both"/>
        <w:rPr>
          <w:rFonts w:ascii="Times New Roman" w:hAnsi="Times New Roman"/>
          <w:i/>
          <w:noProof/>
          <w:sz w:val="24"/>
          <w:szCs w:val="24"/>
        </w:rPr>
      </w:pPr>
      <w:r>
        <w:rPr>
          <w:rFonts w:ascii="Times New Roman" w:hAnsi="Times New Roman"/>
          <w:i/>
          <w:noProof/>
          <w:sz w:val="24"/>
          <w:szCs w:val="24"/>
        </w:rPr>
        <w:t>Measures for ensuring ongoing confidentiality, integrity, availability and resilience of processing systems and services</w:t>
      </w:r>
    </w:p>
    <w:p w14:paraId="5C94DB61" w14:textId="77777777" w:rsidR="00787FCE" w:rsidRDefault="00787FCE">
      <w:pPr>
        <w:spacing w:before="120" w:after="120" w:line="240" w:lineRule="auto"/>
        <w:contextualSpacing/>
        <w:jc w:val="both"/>
        <w:rPr>
          <w:rFonts w:ascii="Times New Roman" w:hAnsi="Times New Roman"/>
          <w:i/>
          <w:noProof/>
          <w:sz w:val="24"/>
          <w:szCs w:val="24"/>
        </w:rPr>
      </w:pPr>
    </w:p>
    <w:p w14:paraId="55B0FA8B" w14:textId="77777777" w:rsidR="00787FCE" w:rsidRDefault="007C35F4">
      <w:pPr>
        <w:spacing w:before="120" w:after="120" w:line="240" w:lineRule="auto"/>
        <w:ind w:left="720"/>
        <w:contextualSpacing/>
        <w:jc w:val="both"/>
        <w:rPr>
          <w:rFonts w:ascii="Times New Roman" w:hAnsi="Times New Roman"/>
          <w:i/>
          <w:noProof/>
          <w:sz w:val="24"/>
          <w:szCs w:val="24"/>
        </w:rPr>
      </w:pPr>
      <w:r>
        <w:rPr>
          <w:rFonts w:ascii="Times New Roman" w:hAnsi="Times New Roman"/>
          <w:i/>
          <w:noProof/>
          <w:sz w:val="24"/>
          <w:szCs w:val="24"/>
        </w:rPr>
        <w:t>Measures for ensuring the ability to restore the availability and access to personal data in a timely manner in the event of a physical or technical incident</w:t>
      </w:r>
    </w:p>
    <w:p w14:paraId="01888C54" w14:textId="77777777" w:rsidR="00787FCE" w:rsidRDefault="00787FCE">
      <w:pPr>
        <w:spacing w:before="120" w:after="120" w:line="240" w:lineRule="auto"/>
        <w:contextualSpacing/>
        <w:jc w:val="both"/>
        <w:rPr>
          <w:rFonts w:ascii="Times New Roman" w:hAnsi="Times New Roman"/>
          <w:i/>
          <w:noProof/>
          <w:sz w:val="24"/>
          <w:szCs w:val="24"/>
        </w:rPr>
      </w:pPr>
    </w:p>
    <w:p w14:paraId="6E7C2038" w14:textId="77777777" w:rsidR="00787FCE" w:rsidRDefault="007C35F4">
      <w:pPr>
        <w:spacing w:before="120" w:after="120" w:line="240" w:lineRule="auto"/>
        <w:ind w:left="720"/>
        <w:contextualSpacing/>
        <w:jc w:val="both"/>
        <w:rPr>
          <w:rFonts w:ascii="Times New Roman" w:hAnsi="Times New Roman"/>
          <w:i/>
          <w:noProof/>
          <w:sz w:val="24"/>
          <w:szCs w:val="24"/>
        </w:rPr>
      </w:pPr>
      <w:r>
        <w:rPr>
          <w:rFonts w:ascii="Times New Roman" w:hAnsi="Times New Roman"/>
          <w:i/>
          <w:noProof/>
          <w:sz w:val="24"/>
          <w:szCs w:val="24"/>
        </w:rPr>
        <w:t>Processes for regularly testing, assessing and evaluating the effectiveness of technical and organisational measures in order to ensure the security of the processing</w:t>
      </w:r>
    </w:p>
    <w:p w14:paraId="2AECFCE8" w14:textId="77777777" w:rsidR="00787FCE" w:rsidRDefault="00787FCE">
      <w:pPr>
        <w:spacing w:before="120" w:after="120" w:line="240" w:lineRule="auto"/>
        <w:contextualSpacing/>
        <w:jc w:val="both"/>
        <w:rPr>
          <w:rFonts w:ascii="Times New Roman" w:hAnsi="Times New Roman"/>
          <w:i/>
          <w:noProof/>
          <w:sz w:val="24"/>
          <w:szCs w:val="24"/>
        </w:rPr>
      </w:pPr>
    </w:p>
    <w:p w14:paraId="60AF1956"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user identification and authorisation</w:t>
      </w:r>
    </w:p>
    <w:p w14:paraId="386BD5E7" w14:textId="77777777" w:rsidR="00787FCE" w:rsidRDefault="00787FCE">
      <w:pPr>
        <w:spacing w:before="120" w:after="120" w:line="240" w:lineRule="auto"/>
        <w:contextualSpacing/>
        <w:jc w:val="both"/>
        <w:rPr>
          <w:rFonts w:ascii="Times New Roman" w:hAnsi="Times New Roman"/>
          <w:i/>
          <w:noProof/>
          <w:sz w:val="24"/>
          <w:szCs w:val="24"/>
        </w:rPr>
      </w:pPr>
    </w:p>
    <w:p w14:paraId="1BF9DAB5" w14:textId="77777777" w:rsidR="00787FCE" w:rsidRDefault="007C35F4">
      <w:pPr>
        <w:spacing w:before="120" w:after="120" w:line="240" w:lineRule="auto"/>
        <w:contextualSpacing/>
        <w:jc w:val="both"/>
        <w:rPr>
          <w:rFonts w:ascii="Times New Roman" w:hAnsi="Times New Roman"/>
          <w:i/>
          <w:noProof/>
          <w:sz w:val="24"/>
          <w:szCs w:val="24"/>
        </w:rPr>
      </w:pPr>
      <w:r>
        <w:rPr>
          <w:rFonts w:ascii="Times New Roman" w:hAnsi="Times New Roman"/>
          <w:i/>
          <w:noProof/>
          <w:sz w:val="24"/>
          <w:szCs w:val="24"/>
        </w:rPr>
        <w:tab/>
        <w:t>Measures for the protection of data during transmission</w:t>
      </w:r>
    </w:p>
    <w:p w14:paraId="5B4818C9" w14:textId="77777777" w:rsidR="00787FCE" w:rsidRDefault="00787FCE">
      <w:pPr>
        <w:spacing w:before="120" w:after="120" w:line="240" w:lineRule="auto"/>
        <w:contextualSpacing/>
        <w:jc w:val="both"/>
        <w:rPr>
          <w:rFonts w:ascii="Times New Roman" w:hAnsi="Times New Roman"/>
          <w:i/>
          <w:noProof/>
          <w:sz w:val="24"/>
          <w:szCs w:val="24"/>
        </w:rPr>
      </w:pPr>
    </w:p>
    <w:p w14:paraId="77EBB859"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the protection of data during storage</w:t>
      </w:r>
    </w:p>
    <w:p w14:paraId="290C2CAA" w14:textId="77777777" w:rsidR="00787FCE" w:rsidRDefault="00787FCE">
      <w:pPr>
        <w:spacing w:before="120" w:after="120" w:line="240" w:lineRule="auto"/>
        <w:contextualSpacing/>
        <w:jc w:val="both"/>
        <w:rPr>
          <w:rFonts w:ascii="Times New Roman" w:hAnsi="Times New Roman"/>
          <w:i/>
          <w:noProof/>
          <w:sz w:val="24"/>
          <w:szCs w:val="24"/>
        </w:rPr>
      </w:pPr>
    </w:p>
    <w:p w14:paraId="531A32D3" w14:textId="77777777" w:rsidR="00787FCE" w:rsidRDefault="007C35F4">
      <w:pPr>
        <w:spacing w:before="120" w:after="120" w:line="240" w:lineRule="auto"/>
        <w:ind w:left="720"/>
        <w:contextualSpacing/>
        <w:jc w:val="both"/>
        <w:rPr>
          <w:rFonts w:ascii="Times New Roman" w:hAnsi="Times New Roman"/>
          <w:i/>
          <w:noProof/>
          <w:sz w:val="24"/>
          <w:szCs w:val="24"/>
        </w:rPr>
      </w:pPr>
      <w:r>
        <w:rPr>
          <w:rFonts w:ascii="Times New Roman" w:hAnsi="Times New Roman"/>
          <w:i/>
          <w:noProof/>
          <w:sz w:val="24"/>
          <w:szCs w:val="24"/>
        </w:rPr>
        <w:t>Measures for ensuring physical security of locations at which personal data are processed</w:t>
      </w:r>
    </w:p>
    <w:p w14:paraId="2F1CA3EB" w14:textId="77777777" w:rsidR="00787FCE" w:rsidRDefault="00787FCE">
      <w:pPr>
        <w:spacing w:before="120" w:after="120" w:line="240" w:lineRule="auto"/>
        <w:contextualSpacing/>
        <w:jc w:val="both"/>
        <w:rPr>
          <w:rFonts w:ascii="Times New Roman" w:hAnsi="Times New Roman"/>
          <w:i/>
          <w:noProof/>
          <w:sz w:val="24"/>
          <w:szCs w:val="24"/>
        </w:rPr>
      </w:pPr>
    </w:p>
    <w:p w14:paraId="78C92AFC"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ensuring events logging</w:t>
      </w:r>
    </w:p>
    <w:p w14:paraId="588303BA" w14:textId="77777777" w:rsidR="00787FCE" w:rsidRDefault="00787FCE">
      <w:pPr>
        <w:spacing w:before="120" w:after="120" w:line="240" w:lineRule="auto"/>
        <w:contextualSpacing/>
        <w:jc w:val="both"/>
        <w:rPr>
          <w:rFonts w:ascii="Times New Roman" w:hAnsi="Times New Roman"/>
          <w:i/>
          <w:noProof/>
          <w:sz w:val="24"/>
          <w:szCs w:val="24"/>
        </w:rPr>
      </w:pPr>
    </w:p>
    <w:p w14:paraId="3532CBEA"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ensuring system configuration, including default configuration</w:t>
      </w:r>
    </w:p>
    <w:p w14:paraId="78C5A593" w14:textId="77777777" w:rsidR="00787FCE" w:rsidRDefault="00787FCE">
      <w:pPr>
        <w:spacing w:before="120" w:after="120" w:line="240" w:lineRule="auto"/>
        <w:contextualSpacing/>
        <w:jc w:val="both"/>
        <w:rPr>
          <w:rFonts w:ascii="Times New Roman" w:hAnsi="Times New Roman"/>
          <w:i/>
          <w:noProof/>
          <w:sz w:val="24"/>
          <w:szCs w:val="24"/>
        </w:rPr>
      </w:pPr>
    </w:p>
    <w:p w14:paraId="516DE2E0"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internal IT and IT security governance and management</w:t>
      </w:r>
    </w:p>
    <w:p w14:paraId="7FA5898E" w14:textId="77777777" w:rsidR="00787FCE" w:rsidRDefault="00787FCE">
      <w:pPr>
        <w:spacing w:before="120" w:after="120" w:line="240" w:lineRule="auto"/>
        <w:contextualSpacing/>
        <w:jc w:val="both"/>
        <w:rPr>
          <w:rFonts w:ascii="Times New Roman" w:hAnsi="Times New Roman"/>
          <w:i/>
          <w:noProof/>
          <w:sz w:val="24"/>
          <w:szCs w:val="24"/>
        </w:rPr>
      </w:pPr>
    </w:p>
    <w:p w14:paraId="0C9B1928"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certification/assurance of processes and products</w:t>
      </w:r>
    </w:p>
    <w:p w14:paraId="3520BDB8" w14:textId="77777777" w:rsidR="00787FCE" w:rsidRDefault="00787FCE">
      <w:pPr>
        <w:spacing w:before="120" w:after="120" w:line="240" w:lineRule="auto"/>
        <w:contextualSpacing/>
        <w:jc w:val="both"/>
        <w:rPr>
          <w:rFonts w:ascii="Times New Roman" w:hAnsi="Times New Roman"/>
          <w:i/>
          <w:noProof/>
          <w:sz w:val="24"/>
          <w:szCs w:val="24"/>
        </w:rPr>
      </w:pPr>
    </w:p>
    <w:p w14:paraId="441AF96F"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lastRenderedPageBreak/>
        <w:t>Measures for ensuring data minimisation</w:t>
      </w:r>
    </w:p>
    <w:p w14:paraId="59DFFD00" w14:textId="77777777" w:rsidR="00787FCE" w:rsidRDefault="00787FCE">
      <w:pPr>
        <w:spacing w:before="120" w:after="120" w:line="240" w:lineRule="auto"/>
        <w:contextualSpacing/>
        <w:jc w:val="both"/>
        <w:rPr>
          <w:rFonts w:ascii="Times New Roman" w:hAnsi="Times New Roman"/>
          <w:i/>
          <w:noProof/>
          <w:sz w:val="24"/>
          <w:szCs w:val="24"/>
        </w:rPr>
      </w:pPr>
    </w:p>
    <w:p w14:paraId="00F9D580"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ensuring data quality</w:t>
      </w:r>
    </w:p>
    <w:p w14:paraId="0B804394" w14:textId="77777777" w:rsidR="00787FCE" w:rsidRDefault="00787FCE">
      <w:pPr>
        <w:spacing w:before="120" w:after="120" w:line="240" w:lineRule="auto"/>
        <w:contextualSpacing/>
        <w:jc w:val="both"/>
        <w:rPr>
          <w:rFonts w:ascii="Times New Roman" w:hAnsi="Times New Roman"/>
          <w:i/>
          <w:noProof/>
          <w:sz w:val="24"/>
          <w:szCs w:val="24"/>
        </w:rPr>
      </w:pPr>
    </w:p>
    <w:p w14:paraId="52AD4175"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ensuring limited data retention</w:t>
      </w:r>
    </w:p>
    <w:p w14:paraId="5BB50FCA" w14:textId="77777777" w:rsidR="00787FCE" w:rsidRDefault="00787FCE">
      <w:pPr>
        <w:spacing w:before="120" w:after="120" w:line="240" w:lineRule="auto"/>
        <w:contextualSpacing/>
        <w:jc w:val="both"/>
        <w:rPr>
          <w:rFonts w:ascii="Times New Roman" w:hAnsi="Times New Roman"/>
          <w:i/>
          <w:noProof/>
          <w:sz w:val="24"/>
          <w:szCs w:val="24"/>
        </w:rPr>
      </w:pPr>
    </w:p>
    <w:p w14:paraId="4C2B984A" w14:textId="77777777" w:rsidR="00787FCE" w:rsidRDefault="007C35F4">
      <w:pPr>
        <w:spacing w:before="120" w:after="120" w:line="240" w:lineRule="auto"/>
        <w:ind w:firstLine="720"/>
        <w:contextualSpacing/>
        <w:jc w:val="both"/>
        <w:rPr>
          <w:rFonts w:ascii="Times New Roman" w:hAnsi="Times New Roman"/>
          <w:i/>
          <w:noProof/>
          <w:sz w:val="24"/>
          <w:szCs w:val="24"/>
        </w:rPr>
      </w:pPr>
      <w:r>
        <w:rPr>
          <w:rFonts w:ascii="Times New Roman" w:hAnsi="Times New Roman"/>
          <w:i/>
          <w:noProof/>
          <w:sz w:val="24"/>
          <w:szCs w:val="24"/>
        </w:rPr>
        <w:t>Measures for ensuring accountability</w:t>
      </w:r>
    </w:p>
    <w:p w14:paraId="3F7E3BE7" w14:textId="77777777" w:rsidR="00787FCE" w:rsidRDefault="00787FCE">
      <w:pPr>
        <w:spacing w:before="120" w:after="120" w:line="240" w:lineRule="auto"/>
        <w:contextualSpacing/>
        <w:jc w:val="both"/>
        <w:rPr>
          <w:rFonts w:ascii="Times New Roman" w:hAnsi="Times New Roman"/>
          <w:i/>
          <w:noProof/>
          <w:sz w:val="24"/>
          <w:szCs w:val="24"/>
        </w:rPr>
      </w:pPr>
    </w:p>
    <w:p w14:paraId="68CCF1C5" w14:textId="77777777" w:rsidR="00787FCE" w:rsidRDefault="007C35F4">
      <w:pPr>
        <w:spacing w:before="120" w:after="120" w:line="240" w:lineRule="auto"/>
        <w:ind w:firstLine="720"/>
        <w:contextualSpacing/>
        <w:jc w:val="both"/>
        <w:rPr>
          <w:rFonts w:ascii="Times New Roman" w:hAnsi="Times New Roman"/>
          <w:i/>
          <w:noProof/>
          <w:sz w:val="24"/>
        </w:rPr>
      </w:pPr>
      <w:r>
        <w:rPr>
          <w:rFonts w:ascii="Times New Roman" w:hAnsi="Times New Roman"/>
          <w:i/>
          <w:noProof/>
          <w:sz w:val="24"/>
          <w:szCs w:val="24"/>
        </w:rPr>
        <w:t>Measures for allowing data portability and ensuring erasure]</w:t>
      </w:r>
    </w:p>
    <w:p w14:paraId="1963FF24" w14:textId="77777777" w:rsidR="00787FCE" w:rsidRPr="00387699" w:rsidRDefault="00787FCE">
      <w:pPr>
        <w:spacing w:before="120" w:after="240" w:line="240" w:lineRule="auto"/>
        <w:jc w:val="both"/>
        <w:rPr>
          <w:rFonts w:ascii="Times New Roman" w:hAnsi="Times New Roman"/>
          <w:b/>
          <w:noProof/>
          <w:sz w:val="24"/>
          <w:highlight w:val="lightGray"/>
        </w:rPr>
      </w:pPr>
    </w:p>
    <w:p w14:paraId="2C3FC320" w14:textId="77777777" w:rsidR="00787FCE" w:rsidRDefault="007C35F4">
      <w:pPr>
        <w:spacing w:before="120" w:after="240" w:line="240" w:lineRule="auto"/>
        <w:jc w:val="both"/>
        <w:rPr>
          <w:rFonts w:ascii="Times New Roman" w:hAnsi="Times New Roman"/>
          <w:noProof/>
          <w:sz w:val="24"/>
        </w:rPr>
      </w:pPr>
      <w:r>
        <w:rPr>
          <w:rFonts w:ascii="Times New Roman" w:hAnsi="Times New Roman"/>
          <w:i/>
          <w:noProof/>
          <w:sz w:val="24"/>
        </w:rPr>
        <w:t>For transfers to (sub-) processors, also</w:t>
      </w:r>
      <w:r>
        <w:rPr>
          <w:rFonts w:ascii="Times New Roman" w:hAnsi="Times New Roman"/>
          <w:noProof/>
          <w:sz w:val="24"/>
        </w:rPr>
        <w:t xml:space="preserve"> </w:t>
      </w:r>
      <w:r>
        <w:rPr>
          <w:rFonts w:ascii="Times New Roman" w:hAnsi="Times New Roman"/>
          <w:i/>
          <w:noProof/>
          <w:sz w:val="24"/>
        </w:rPr>
        <w:t>describe the specific technical and organisational measures to be taken by the (sub-) processor to be able to provide assistance to the controller and, for transfers from a processor to a sub-processor, to the data exporter</w:t>
      </w:r>
    </w:p>
    <w:p w14:paraId="252D5B33" w14:textId="77777777" w:rsidR="00787FCE" w:rsidRDefault="007C35F4">
      <w:pPr>
        <w:spacing w:before="120" w:after="240" w:line="240" w:lineRule="auto"/>
        <w:jc w:val="both"/>
        <w:rPr>
          <w:rFonts w:ascii="Times New Roman" w:hAnsi="Times New Roman"/>
          <w:noProof/>
          <w:sz w:val="24"/>
        </w:rPr>
      </w:pPr>
      <w:r>
        <w:rPr>
          <w:rFonts w:ascii="Times New Roman" w:hAnsi="Times New Roman"/>
          <w:noProof/>
          <w:sz w:val="24"/>
        </w:rPr>
        <w:br w:type="page"/>
      </w:r>
      <w:bookmarkStart w:id="2" w:name="_Toc14271725"/>
      <w:bookmarkStart w:id="3" w:name="_Toc14271929"/>
      <w:bookmarkStart w:id="4" w:name="_Toc14391529"/>
      <w:bookmarkStart w:id="5" w:name="_Toc14391611"/>
      <w:bookmarkStart w:id="6" w:name="_Toc14391847"/>
      <w:bookmarkStart w:id="7" w:name="_Toc14435437"/>
      <w:bookmarkStart w:id="8" w:name="_Toc501369811"/>
      <w:bookmarkStart w:id="9" w:name="_Toc505602990"/>
      <w:bookmarkStart w:id="10" w:name="_Toc505780023"/>
      <w:bookmarkStart w:id="11" w:name="_Toc506305867"/>
      <w:bookmarkStart w:id="12" w:name="_Toc511035887"/>
      <w:bookmarkEnd w:id="2"/>
      <w:bookmarkEnd w:id="3"/>
      <w:bookmarkEnd w:id="4"/>
      <w:bookmarkEnd w:id="5"/>
      <w:bookmarkEnd w:id="6"/>
      <w:bookmarkEnd w:id="7"/>
    </w:p>
    <w:bookmarkEnd w:id="8"/>
    <w:bookmarkEnd w:id="9"/>
    <w:bookmarkEnd w:id="10"/>
    <w:bookmarkEnd w:id="11"/>
    <w:bookmarkEnd w:id="12"/>
    <w:p w14:paraId="58106C52" w14:textId="77777777" w:rsidR="00787FCE" w:rsidRDefault="007C35F4">
      <w:pPr>
        <w:spacing w:before="120" w:after="120" w:line="240" w:lineRule="auto"/>
        <w:jc w:val="both"/>
        <w:rPr>
          <w:rFonts w:ascii="Times New Roman" w:hAnsi="Times New Roman"/>
          <w:b/>
          <w:noProof/>
          <w:sz w:val="24"/>
          <w:u w:val="single"/>
        </w:rPr>
      </w:pPr>
      <w:r>
        <w:rPr>
          <w:rFonts w:ascii="Times New Roman" w:hAnsi="Times New Roman"/>
          <w:b/>
          <w:noProof/>
          <w:sz w:val="24"/>
          <w:u w:val="single"/>
        </w:rPr>
        <w:t>ANNEX III – LIST OF SUB-PROCESSORS</w:t>
      </w:r>
    </w:p>
    <w:p w14:paraId="091879DB" w14:textId="77777777" w:rsidR="00787FCE" w:rsidRPr="00387699" w:rsidRDefault="00787FCE">
      <w:pPr>
        <w:spacing w:before="120" w:after="120" w:line="240" w:lineRule="auto"/>
        <w:jc w:val="both"/>
        <w:rPr>
          <w:rFonts w:ascii="Times New Roman" w:hAnsi="Times New Roman"/>
          <w:b/>
          <w:noProof/>
          <w:sz w:val="24"/>
          <w:highlight w:val="lightGray"/>
        </w:rPr>
      </w:pPr>
    </w:p>
    <w:p w14:paraId="0B0787E6"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EXPLANATORY NOTE: </w:t>
      </w:r>
    </w:p>
    <w:p w14:paraId="3AF54504"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 xml:space="preserve">This Annex must be completed for Modules Two and Three, in case of the specific authorisation of sub-processors (Clause 9(a), Option 1). </w:t>
      </w:r>
    </w:p>
    <w:p w14:paraId="6E6588B6" w14:textId="77777777" w:rsidR="00787FCE" w:rsidRDefault="00787FCE">
      <w:pPr>
        <w:numPr>
          <w:ilvl w:val="1"/>
          <w:numId w:val="0"/>
        </w:numPr>
        <w:spacing w:before="120" w:after="120" w:line="240" w:lineRule="auto"/>
        <w:jc w:val="both"/>
        <w:rPr>
          <w:rFonts w:ascii="Times New Roman" w:hAnsi="Times New Roman"/>
          <w:noProof/>
          <w:sz w:val="24"/>
        </w:rPr>
      </w:pPr>
    </w:p>
    <w:p w14:paraId="483A9B4A" w14:textId="77777777" w:rsidR="00787FCE" w:rsidRDefault="007C35F4">
      <w:pPr>
        <w:numPr>
          <w:ilvl w:val="1"/>
          <w:numId w:val="0"/>
        </w:numPr>
        <w:spacing w:before="120" w:after="120" w:line="240" w:lineRule="auto"/>
        <w:jc w:val="both"/>
        <w:rPr>
          <w:rFonts w:ascii="Times New Roman" w:hAnsi="Times New Roman"/>
          <w:noProof/>
          <w:sz w:val="24"/>
        </w:rPr>
      </w:pPr>
      <w:r>
        <w:rPr>
          <w:rFonts w:ascii="Times New Roman" w:hAnsi="Times New Roman"/>
          <w:noProof/>
          <w:sz w:val="24"/>
        </w:rPr>
        <w:t xml:space="preserve">The controller has authorised the use of the following sub-processors: </w:t>
      </w:r>
    </w:p>
    <w:p w14:paraId="0B643263" w14:textId="77777777" w:rsidR="00787FCE" w:rsidRDefault="00787FCE">
      <w:pPr>
        <w:spacing w:before="120" w:after="120" w:line="240" w:lineRule="auto"/>
        <w:jc w:val="both"/>
        <w:rPr>
          <w:rFonts w:ascii="Times New Roman" w:hAnsi="Times New Roman"/>
          <w:noProof/>
          <w:sz w:val="24"/>
        </w:rPr>
      </w:pPr>
    </w:p>
    <w:p w14:paraId="1DEDC4E7"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1. Name: …</w:t>
      </w:r>
    </w:p>
    <w:p w14:paraId="45A78997"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Address: …</w:t>
      </w:r>
    </w:p>
    <w:p w14:paraId="47563E1F"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Contact person’s name, position and contact details: …</w:t>
      </w:r>
    </w:p>
    <w:p w14:paraId="529A040D"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Description of processing (including a clear delimitation of responsibilities in case several sub-processors are authorised): …</w:t>
      </w:r>
    </w:p>
    <w:p w14:paraId="799A49ED" w14:textId="77777777" w:rsidR="00787FCE" w:rsidRDefault="00787FCE">
      <w:pPr>
        <w:spacing w:before="120" w:after="120" w:line="240" w:lineRule="auto"/>
        <w:jc w:val="both"/>
        <w:rPr>
          <w:rFonts w:ascii="Times New Roman" w:hAnsi="Times New Roman"/>
          <w:noProof/>
          <w:sz w:val="24"/>
        </w:rPr>
      </w:pPr>
    </w:p>
    <w:p w14:paraId="2F12F5D2" w14:textId="77777777" w:rsidR="00787FCE" w:rsidRDefault="007C35F4">
      <w:pPr>
        <w:spacing w:before="120" w:after="120" w:line="240" w:lineRule="auto"/>
        <w:jc w:val="both"/>
        <w:rPr>
          <w:rFonts w:ascii="Times New Roman" w:hAnsi="Times New Roman"/>
          <w:noProof/>
          <w:sz w:val="24"/>
        </w:rPr>
      </w:pPr>
      <w:r>
        <w:rPr>
          <w:rFonts w:ascii="Times New Roman" w:hAnsi="Times New Roman"/>
          <w:noProof/>
          <w:sz w:val="24"/>
        </w:rPr>
        <w:t>2. …</w:t>
      </w:r>
    </w:p>
    <w:p w14:paraId="056D4259" w14:textId="77777777" w:rsidR="00787FCE" w:rsidRDefault="00787FCE">
      <w:pPr>
        <w:numPr>
          <w:ilvl w:val="1"/>
          <w:numId w:val="0"/>
        </w:numPr>
        <w:spacing w:before="120" w:after="120" w:line="240" w:lineRule="auto"/>
        <w:jc w:val="both"/>
        <w:rPr>
          <w:rFonts w:ascii="Times New Roman" w:hAnsi="Times New Roman"/>
          <w:noProof/>
          <w:sz w:val="24"/>
        </w:rPr>
      </w:pPr>
    </w:p>
    <w:p w14:paraId="4B9707A1" w14:textId="77777777" w:rsidR="00787FCE" w:rsidRDefault="00787FCE">
      <w:pPr>
        <w:numPr>
          <w:ilvl w:val="1"/>
          <w:numId w:val="0"/>
        </w:numPr>
        <w:spacing w:before="120" w:after="120" w:line="240" w:lineRule="auto"/>
        <w:jc w:val="both"/>
        <w:rPr>
          <w:rFonts w:ascii="Times New Roman" w:hAnsi="Times New Roman"/>
          <w:noProof/>
          <w:sz w:val="24"/>
        </w:rPr>
      </w:pPr>
    </w:p>
    <w:p w14:paraId="7C0C8746" w14:textId="77777777" w:rsidR="00787FCE" w:rsidRDefault="00787FCE">
      <w:pPr>
        <w:numPr>
          <w:ilvl w:val="1"/>
          <w:numId w:val="0"/>
        </w:numPr>
        <w:spacing w:before="120" w:after="120" w:line="240" w:lineRule="auto"/>
        <w:jc w:val="both"/>
        <w:rPr>
          <w:rFonts w:ascii="Times New Roman" w:hAnsi="Times New Roman"/>
          <w:noProof/>
          <w:sz w:val="24"/>
        </w:rPr>
      </w:pPr>
    </w:p>
    <w:p w14:paraId="07AE75D4" w14:textId="77777777" w:rsidR="00787FCE" w:rsidRDefault="00787FCE">
      <w:pPr>
        <w:rPr>
          <w:rFonts w:ascii="Times New Roman" w:hAnsi="Times New Roman"/>
          <w:noProof/>
          <w:sz w:val="24"/>
        </w:rPr>
      </w:pPr>
    </w:p>
    <w:p w14:paraId="4AEB00FC" w14:textId="77777777" w:rsidR="00787FCE" w:rsidRDefault="00787FCE">
      <w:pPr>
        <w:rPr>
          <w:noProof/>
        </w:rPr>
      </w:pPr>
    </w:p>
    <w:sectPr w:rsidR="00787FCE" w:rsidSect="002760D6">
      <w:headerReference w:type="even" r:id="rId14"/>
      <w:headerReference w:type="default" r:id="rId15"/>
      <w:footerReference w:type="even" r:id="rId16"/>
      <w:footerReference w:type="default" r:id="rId17"/>
      <w:headerReference w:type="first" r:id="rId18"/>
      <w:footerReference w:type="first" r:id="rId19"/>
      <w:pgSz w:w="11907" w:h="16839"/>
      <w:pgMar w:top="1985" w:right="1417" w:bottom="1985"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00D2" w14:textId="77777777" w:rsidR="006178DA" w:rsidRDefault="006178DA">
      <w:pPr>
        <w:spacing w:after="0" w:line="240" w:lineRule="auto"/>
      </w:pPr>
      <w:r>
        <w:separator/>
      </w:r>
    </w:p>
  </w:endnote>
  <w:endnote w:type="continuationSeparator" w:id="0">
    <w:p w14:paraId="3151516E" w14:textId="77777777" w:rsidR="006178DA" w:rsidRDefault="0061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E827" w14:textId="77777777" w:rsidR="00787FCE" w:rsidRDefault="002760D6" w:rsidP="002760D6">
    <w:pPr>
      <w:pStyle w:val="FooterCoverPage"/>
      <w:jc w:val="center"/>
      <w:rPr>
        <w:rFonts w:ascii="Arial" w:hAnsi="Arial" w:cs="Arial"/>
        <w:b/>
        <w:sz w:val="48"/>
      </w:rPr>
    </w:pPr>
    <w:r>
      <w:rPr>
        <w:noProof/>
      </w:rPr>
      <w:pict w14:anchorId="6BD6B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iè%20di%20pag_ra" style="position:absolute;left:0;text-align:left;margin-left:225.2pt;margin-top:771.3pt;width:169.9pt;height:36.95pt;z-index:2;visibility:visible">
          <v:imagedata r:id="rId1" o:title="piè%20di%20pag_ra"/>
        </v:shape>
      </w:pict>
    </w:r>
    <w:r>
      <w:rPr>
        <w:noProof/>
      </w:rPr>
      <w:pict w14:anchorId="26F85A99">
        <v:shape id="Immagine 1" o:spid="_x0000_s1025" type="#_x0000_t75" alt="piè%20di%20pag_ra" style="position:absolute;left:0;text-align:left;margin-left:225.2pt;margin-top:771.3pt;width:169.9pt;height:36.95pt;z-index:1;visibility:visible">
          <v:imagedata r:id="rId1" o:title="piè%20di%20pag_ra"/>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5559" w14:textId="77777777" w:rsidR="00787FCE" w:rsidRDefault="00787FC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E143" w14:textId="77777777" w:rsidR="0060107B" w:rsidRDefault="0060107B">
    <w:pPr>
      <w:pStyle w:val="Pidipagina"/>
      <w:jc w:val="right"/>
    </w:pPr>
    <w:r w:rsidRPr="0060107B">
      <w:rPr>
        <w:color w:val="5B9BD5"/>
        <w:sz w:val="20"/>
        <w:szCs w:val="20"/>
        <w:lang w:val="it-IT"/>
      </w:rPr>
      <w:t xml:space="preserve">pag. </w:t>
    </w:r>
    <w:r w:rsidRPr="0060107B">
      <w:rPr>
        <w:color w:val="5B9BD5"/>
        <w:sz w:val="20"/>
        <w:szCs w:val="20"/>
      </w:rPr>
      <w:fldChar w:fldCharType="begin"/>
    </w:r>
    <w:r w:rsidRPr="0060107B">
      <w:rPr>
        <w:color w:val="5B9BD5"/>
        <w:sz w:val="20"/>
        <w:szCs w:val="20"/>
      </w:rPr>
      <w:instrText>PAGE  \* Arabic</w:instrText>
    </w:r>
    <w:r w:rsidRPr="0060107B">
      <w:rPr>
        <w:color w:val="5B9BD5"/>
        <w:sz w:val="20"/>
        <w:szCs w:val="20"/>
      </w:rPr>
      <w:fldChar w:fldCharType="separate"/>
    </w:r>
    <w:r w:rsidR="0081607A">
      <w:rPr>
        <w:noProof/>
        <w:color w:val="5B9BD5"/>
        <w:sz w:val="20"/>
        <w:szCs w:val="20"/>
      </w:rPr>
      <w:t>24</w:t>
    </w:r>
    <w:r w:rsidRPr="0060107B">
      <w:rPr>
        <w:color w:val="5B9BD5"/>
        <w:sz w:val="20"/>
        <w:szCs w:val="20"/>
      </w:rPr>
      <w:fldChar w:fldCharType="end"/>
    </w:r>
  </w:p>
  <w:p w14:paraId="75199962" w14:textId="77777777" w:rsidR="00787FCE" w:rsidRPr="00F31502" w:rsidRDefault="00787FCE" w:rsidP="00F31502">
    <w:pPr>
      <w:pStyle w:val="Pidipagina"/>
      <w:jc w:val="right"/>
      <w:rPr>
        <w:caps/>
        <w:color w:val="5B9BD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9C87" w14:textId="77777777" w:rsidR="00787FCE" w:rsidRDefault="00787F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634AE" w14:textId="77777777" w:rsidR="006178DA" w:rsidRDefault="006178DA">
      <w:pPr>
        <w:spacing w:after="0" w:line="240" w:lineRule="auto"/>
      </w:pPr>
      <w:r>
        <w:separator/>
      </w:r>
    </w:p>
  </w:footnote>
  <w:footnote w:type="continuationSeparator" w:id="0">
    <w:p w14:paraId="289DFDF5" w14:textId="77777777" w:rsidR="006178DA" w:rsidRDefault="006178DA">
      <w:pPr>
        <w:spacing w:after="0" w:line="240" w:lineRule="auto"/>
      </w:pPr>
      <w:r>
        <w:continuationSeparator/>
      </w:r>
    </w:p>
  </w:footnote>
  <w:footnote w:id="1">
    <w:p w14:paraId="5C682053" w14:textId="77777777" w:rsidR="00787FCE" w:rsidRDefault="007C35F4">
      <w:pPr>
        <w:pStyle w:val="Testonotaapidipagina"/>
        <w:ind w:left="284" w:hanging="284"/>
      </w:pPr>
      <w:r>
        <w:rPr>
          <w:rStyle w:val="Rimandonotaapidipagina"/>
        </w:rPr>
        <w:footnoteRef/>
      </w:r>
      <w:r>
        <w:t xml:space="preserve"> </w:t>
      </w:r>
      <w:r>
        <w:tab/>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p>
  </w:footnote>
  <w:footnote w:id="2">
    <w:p w14:paraId="21ACF289" w14:textId="77777777" w:rsidR="00787FCE" w:rsidRDefault="007C35F4">
      <w:pPr>
        <w:pStyle w:val="Testonotaapidipagina"/>
        <w:ind w:left="284" w:hanging="284"/>
      </w:pPr>
      <w:r>
        <w:rPr>
          <w:rStyle w:val="Rimandonotaapidipagina"/>
        </w:rPr>
        <w:footnoteRef/>
      </w:r>
      <w:r>
        <w:t xml:space="preserve"> </w:t>
      </w:r>
      <w:r>
        <w:tab/>
        <w:t>The Agreement on the European Economic Area (EEA Agreement) provides for the extension of the European Union's internal market to the three EEA States Iceland, Liechtenstein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p>
    <w:p w14:paraId="02E13835" w14:textId="77777777" w:rsidR="00787FCE" w:rsidRDefault="00787FCE">
      <w:pPr>
        <w:pStyle w:val="Testonotaapidipagina"/>
        <w:ind w:left="0" w:firstLine="0"/>
      </w:pPr>
    </w:p>
  </w:footnote>
  <w:footnote w:id="3">
    <w:p w14:paraId="1535F2D8" w14:textId="77777777" w:rsidR="00787FCE" w:rsidRDefault="007C35F4">
      <w:pPr>
        <w:pStyle w:val="Testonotaapidipagina"/>
        <w:ind w:left="284" w:hanging="284"/>
      </w:pPr>
      <w:r>
        <w:rPr>
          <w:rStyle w:val="Rimandonotaapidipagina"/>
        </w:rPr>
        <w:footnoteRef/>
      </w:r>
      <w:r>
        <w:t xml:space="preserve"> </w:t>
      </w:r>
      <w:r>
        <w:tab/>
        <w:t>This requirement may be satisfied by the sub-processor acceding to these Clauses under the appropriate Module, in accordance with Clause 7.</w:t>
      </w:r>
    </w:p>
  </w:footnote>
  <w:footnote w:id="4">
    <w:p w14:paraId="51B1F4AE" w14:textId="77777777" w:rsidR="00787FCE" w:rsidRDefault="007C35F4">
      <w:pPr>
        <w:pStyle w:val="Testonotaapidipagina"/>
        <w:ind w:left="284" w:hanging="284"/>
      </w:pPr>
      <w:r>
        <w:rPr>
          <w:rStyle w:val="Rimandonotaapidipagina"/>
        </w:rPr>
        <w:footnoteRef/>
      </w:r>
      <w:r>
        <w:t xml:space="preserve"> </w:t>
      </w:r>
      <w:r>
        <w:tab/>
        <w:t xml:space="preserve">The data importer may offer independent dispute resolution through an arbitration body only if it is </w:t>
      </w:r>
      <w:r>
        <w:rPr>
          <w:lang w:val="en-IE"/>
        </w:rPr>
        <w:t>established in a country that has ratified the New York Convention on Enforcement of Arbitration Awards.</w:t>
      </w:r>
      <w:r>
        <w:rPr>
          <w:lang w:val="en-IE"/>
        </w:rPr>
        <w:tab/>
      </w:r>
    </w:p>
  </w:footnote>
  <w:footnote w:id="5">
    <w:p w14:paraId="33048822" w14:textId="77777777" w:rsidR="00787FCE" w:rsidRDefault="007C35F4">
      <w:pPr>
        <w:pStyle w:val="Testonotaapidipagina"/>
        <w:ind w:left="284" w:hanging="284"/>
      </w:pPr>
      <w:r>
        <w:rPr>
          <w:rStyle w:val="Rimandonotaapidipagina"/>
        </w:rPr>
        <w:footnoteRef/>
      </w:r>
      <w:r>
        <w:t xml:space="preserve"> </w:t>
      </w:r>
      <w:r>
        <w:tab/>
      </w:r>
      <w:r>
        <w:rPr>
          <w:lang w:eastAsia="en-GB"/>
        </w:rPr>
        <w:t xml:space="preserve">As regards the impact of such laws and practices on compliance with these Clauses, different elements may be considered as part of an overall assessment. Such elements may include relevant and documented practical experience </w:t>
      </w:r>
      <w:r>
        <w:t>with prior instances of requests for disclosure from public authorities, or the absence of such requests, covering a sufficiently representative time-frame. This refers in particular to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have to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F69B" w14:textId="77777777" w:rsidR="00787FCE" w:rsidRDefault="00787F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A3E8" w14:textId="77777777" w:rsidR="00787FCE" w:rsidRDefault="002760D6">
    <w:pPr>
      <w:pStyle w:val="Intestazione"/>
    </w:pPr>
    <w:r>
      <w:rPr>
        <w:noProof/>
      </w:rPr>
      <w:pict w14:anchorId="20B86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34" type="#_x0000_t75" alt="UNIPR_CENTRATO_1RIGA_POS_RGB" style="position:absolute;margin-left:147.55pt;margin-top:-7.25pt;width:158.8pt;height:60.1pt;z-index:3;visibility:visible">
          <v:imagedata r:id="rId1" o:title="UNIPR_CENTRATO_1RIGA_POS_RGB"/>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A0B84" w14:textId="77777777" w:rsidR="00787FCE" w:rsidRDefault="00787F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6A8490E"/>
    <w:lvl w:ilvl="0">
      <w:start w:val="1"/>
      <w:numFmt w:val="decimal"/>
      <w:pStyle w:val="Numeroelenco4"/>
      <w:lvlText w:val="%1."/>
      <w:lvlJc w:val="left"/>
      <w:pPr>
        <w:tabs>
          <w:tab w:val="num" w:pos="1209"/>
        </w:tabs>
        <w:ind w:left="1209" w:hanging="360"/>
      </w:pPr>
    </w:lvl>
  </w:abstractNum>
  <w:abstractNum w:abstractNumId="1" w15:restartNumberingAfterBreak="0">
    <w:nsid w:val="FFFFFF7E"/>
    <w:multiLevelType w:val="singleLevel"/>
    <w:tmpl w:val="4524DD3E"/>
    <w:lvl w:ilvl="0">
      <w:start w:val="1"/>
      <w:numFmt w:val="decimal"/>
      <w:pStyle w:val="Numeroelenco3"/>
      <w:lvlText w:val="%1."/>
      <w:lvlJc w:val="left"/>
      <w:pPr>
        <w:tabs>
          <w:tab w:val="num" w:pos="926"/>
        </w:tabs>
        <w:ind w:left="926" w:hanging="360"/>
      </w:pPr>
    </w:lvl>
  </w:abstractNum>
  <w:abstractNum w:abstractNumId="2" w15:restartNumberingAfterBreak="0">
    <w:nsid w:val="FFFFFF7F"/>
    <w:multiLevelType w:val="singleLevel"/>
    <w:tmpl w:val="1EA048CC"/>
    <w:lvl w:ilvl="0">
      <w:start w:val="1"/>
      <w:numFmt w:val="decimal"/>
      <w:pStyle w:val="Numeroelenco2"/>
      <w:lvlText w:val="%1."/>
      <w:lvlJc w:val="left"/>
      <w:pPr>
        <w:tabs>
          <w:tab w:val="num" w:pos="643"/>
        </w:tabs>
        <w:ind w:left="643" w:hanging="360"/>
      </w:pPr>
    </w:lvl>
  </w:abstractNum>
  <w:abstractNum w:abstractNumId="3" w15:restartNumberingAfterBreak="0">
    <w:nsid w:val="FFFFFF81"/>
    <w:multiLevelType w:val="singleLevel"/>
    <w:tmpl w:val="E68E727C"/>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A04634C"/>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B1AA14C"/>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67017E0"/>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3E780926"/>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E4961562"/>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Roman"/>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4507AB0"/>
    <w:multiLevelType w:val="hybridMultilevel"/>
    <w:tmpl w:val="2CF63BC4"/>
    <w:lvl w:ilvl="0" w:tplc="49FA77EC">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7357F51"/>
    <w:multiLevelType w:val="hybridMultilevel"/>
    <w:tmpl w:val="A8043E80"/>
    <w:lvl w:ilvl="0" w:tplc="69F2F11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Titolo1"/>
      <w:lvlText w:val="%1."/>
      <w:lvlJc w:val="left"/>
      <w:pPr>
        <w:tabs>
          <w:tab w:val="num" w:pos="850"/>
        </w:tabs>
        <w:ind w:left="850" w:hanging="850"/>
      </w:pPr>
    </w:lvl>
    <w:lvl w:ilvl="1">
      <w:start w:val="1"/>
      <w:numFmt w:val="decimal"/>
      <w:pStyle w:val="Titolo2"/>
      <w:lvlText w:val="%1.%2."/>
      <w:lvlJc w:val="left"/>
      <w:pPr>
        <w:tabs>
          <w:tab w:val="num" w:pos="850"/>
        </w:tabs>
        <w:ind w:left="850" w:hanging="850"/>
      </w:pPr>
    </w:lvl>
    <w:lvl w:ilvl="2">
      <w:start w:val="1"/>
      <w:numFmt w:val="decimal"/>
      <w:pStyle w:val="Titolo3"/>
      <w:lvlText w:val="%1.%2.%3."/>
      <w:lvlJc w:val="left"/>
      <w:pPr>
        <w:tabs>
          <w:tab w:val="num" w:pos="850"/>
        </w:tabs>
        <w:ind w:left="850" w:hanging="850"/>
      </w:pPr>
    </w:lvl>
    <w:lvl w:ilvl="3">
      <w:start w:val="1"/>
      <w:numFmt w:val="decimal"/>
      <w:pStyle w:val="Titolo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383065632">
    <w:abstractNumId w:val="7"/>
  </w:num>
  <w:num w:numId="2" w16cid:durableId="1763255549">
    <w:abstractNumId w:val="5"/>
  </w:num>
  <w:num w:numId="3" w16cid:durableId="703679670">
    <w:abstractNumId w:val="4"/>
  </w:num>
  <w:num w:numId="4" w16cid:durableId="735471854">
    <w:abstractNumId w:val="3"/>
  </w:num>
  <w:num w:numId="5" w16cid:durableId="1005936810">
    <w:abstractNumId w:val="6"/>
  </w:num>
  <w:num w:numId="6" w16cid:durableId="604656747">
    <w:abstractNumId w:val="2"/>
  </w:num>
  <w:num w:numId="7" w16cid:durableId="1172184279">
    <w:abstractNumId w:val="1"/>
  </w:num>
  <w:num w:numId="8" w16cid:durableId="482544327">
    <w:abstractNumId w:val="0"/>
  </w:num>
  <w:num w:numId="9" w16cid:durableId="372965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332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1652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84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3964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353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01945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98342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5410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23682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4208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146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07423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9189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66008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7254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635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5728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9307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72997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7920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1122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5093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9421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4110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0747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8409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9793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62670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6071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7414939">
    <w:abstractNumId w:val="20"/>
  </w:num>
  <w:num w:numId="40" w16cid:durableId="440220951">
    <w:abstractNumId w:val="12"/>
  </w:num>
  <w:num w:numId="41" w16cid:durableId="1419063716">
    <w:abstractNumId w:val="22"/>
  </w:num>
  <w:num w:numId="42" w16cid:durableId="402142503">
    <w:abstractNumId w:val="11"/>
  </w:num>
  <w:num w:numId="43" w16cid:durableId="1243949322">
    <w:abstractNumId w:val="13"/>
  </w:num>
  <w:num w:numId="44" w16cid:durableId="565411044">
    <w:abstractNumId w:val="9"/>
  </w:num>
  <w:num w:numId="45" w16cid:durableId="91248249">
    <w:abstractNumId w:val="21"/>
  </w:num>
  <w:num w:numId="46" w16cid:durableId="516776464">
    <w:abstractNumId w:val="8"/>
  </w:num>
  <w:num w:numId="47" w16cid:durableId="1009797075">
    <w:abstractNumId w:val="15"/>
  </w:num>
  <w:num w:numId="48" w16cid:durableId="813840231">
    <w:abstractNumId w:val="18"/>
  </w:num>
  <w:num w:numId="49" w16cid:durableId="713504734">
    <w:abstractNumId w:val="19"/>
  </w:num>
  <w:num w:numId="50" w16cid:durableId="204802669">
    <w:abstractNumId w:val="10"/>
  </w:num>
  <w:num w:numId="51" w16cid:durableId="433936061">
    <w:abstractNumId w:val="17"/>
  </w:num>
  <w:num w:numId="52" w16cid:durableId="1664091814">
    <w:abstractNumId w:val="23"/>
  </w:num>
  <w:num w:numId="53" w16cid:durableId="12606016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79648162">
    <w:abstractNumId w:val="14"/>
  </w:num>
  <w:num w:numId="55" w16cid:durableId="1787582249">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NotTrackMoves/>
  <w:defaultTabStop w:val="720"/>
  <w:hyphenationZone w:val="425"/>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7E9A26CC-8B29-482E-9CDA-53FB89B40E12"/>
    <w:docVar w:name="LW_COVERPAGE_TYPE" w:val="1"/>
    <w:docVar w:name="LW_CROSSREFERENCE" w:val="&lt;UNUSED&gt;"/>
    <w:docVar w:name="LW_DocType" w:val="NORMAL"/>
    <w:docVar w:name="LW_EMISSION" w:val="4.6.2021"/>
    <w:docVar w:name="LW_EMISSION_ISODATE" w:val="2021-06-04"/>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on standard contractual clauses for the transfer of personal data to third countries pursuant to Regulation (EU) 2016/679 of the European Parliament and of the Council"/>
    <w:docVar w:name="LW_PART_NBR" w:val="1"/>
    <w:docVar w:name="LW_PART_NBR_TOTAL" w:val="1"/>
    <w:docVar w:name="LW_REF.INST.NEW" w:val="C"/>
    <w:docVar w:name="LW_REF.INST.NEW_ADOPTED" w:val="final"/>
    <w:docVar w:name="LW_REF.INST.NEW_TEXT" w:val="(2021) 39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IMPLEMENTING DECISION"/>
    <w:docVar w:name="LwApiVersions" w:val="LW4CoDe 1.23.0.0; LW 8.0, Build 20210114"/>
  </w:docVars>
  <w:rsids>
    <w:rsidRoot w:val="00787FCE"/>
    <w:rsid w:val="000A1356"/>
    <w:rsid w:val="000C2339"/>
    <w:rsid w:val="002760D6"/>
    <w:rsid w:val="00387699"/>
    <w:rsid w:val="0060107B"/>
    <w:rsid w:val="006178DA"/>
    <w:rsid w:val="006F0709"/>
    <w:rsid w:val="007145ED"/>
    <w:rsid w:val="00787FCE"/>
    <w:rsid w:val="007C35F4"/>
    <w:rsid w:val="0081607A"/>
    <w:rsid w:val="00A53FEA"/>
    <w:rsid w:val="00BD6767"/>
    <w:rsid w:val="00F31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029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val="en-GB" w:eastAsia="en-US"/>
    </w:rPr>
  </w:style>
  <w:style w:type="paragraph" w:styleId="Titolo1">
    <w:name w:val="heading 1"/>
    <w:basedOn w:val="Normale"/>
    <w:next w:val="Text1"/>
    <w:link w:val="Titolo1Carattere"/>
    <w:uiPriority w:val="9"/>
    <w:qFormat/>
    <w:pPr>
      <w:keepNext/>
      <w:numPr>
        <w:numId w:val="45"/>
      </w:numPr>
      <w:spacing w:before="360" w:after="120" w:line="240" w:lineRule="auto"/>
      <w:jc w:val="both"/>
      <w:outlineLvl w:val="0"/>
    </w:pPr>
    <w:rPr>
      <w:rFonts w:ascii="Times New Roman" w:eastAsia="Times New Roman" w:hAnsi="Times New Roman"/>
      <w:b/>
      <w:bCs/>
      <w:smallCaps/>
      <w:sz w:val="24"/>
      <w:szCs w:val="28"/>
    </w:rPr>
  </w:style>
  <w:style w:type="paragraph" w:styleId="Titolo2">
    <w:name w:val="heading 2"/>
    <w:basedOn w:val="Normale"/>
    <w:next w:val="Text1"/>
    <w:link w:val="Titolo2Carattere"/>
    <w:uiPriority w:val="9"/>
    <w:semiHidden/>
    <w:unhideWhenUsed/>
    <w:qFormat/>
    <w:pPr>
      <w:keepNext/>
      <w:numPr>
        <w:ilvl w:val="1"/>
        <w:numId w:val="45"/>
      </w:numPr>
      <w:spacing w:before="120" w:after="120" w:line="240" w:lineRule="auto"/>
      <w:jc w:val="both"/>
      <w:outlineLvl w:val="1"/>
    </w:pPr>
    <w:rPr>
      <w:rFonts w:ascii="Times New Roman" w:eastAsia="Times New Roman" w:hAnsi="Times New Roman"/>
      <w:b/>
      <w:bCs/>
      <w:sz w:val="24"/>
      <w:szCs w:val="26"/>
    </w:rPr>
  </w:style>
  <w:style w:type="paragraph" w:styleId="Titolo3">
    <w:name w:val="heading 3"/>
    <w:basedOn w:val="Normale"/>
    <w:next w:val="Text1"/>
    <w:link w:val="Titolo3Carattere"/>
    <w:uiPriority w:val="9"/>
    <w:semiHidden/>
    <w:unhideWhenUsed/>
    <w:qFormat/>
    <w:pPr>
      <w:keepNext/>
      <w:numPr>
        <w:ilvl w:val="2"/>
        <w:numId w:val="45"/>
      </w:numPr>
      <w:spacing w:before="120" w:after="120" w:line="240" w:lineRule="auto"/>
      <w:jc w:val="both"/>
      <w:outlineLvl w:val="2"/>
    </w:pPr>
    <w:rPr>
      <w:rFonts w:ascii="Times New Roman" w:eastAsia="Times New Roman" w:hAnsi="Times New Roman"/>
      <w:bCs/>
      <w:i/>
      <w:sz w:val="24"/>
    </w:rPr>
  </w:style>
  <w:style w:type="paragraph" w:styleId="Titolo4">
    <w:name w:val="heading 4"/>
    <w:basedOn w:val="Normale"/>
    <w:next w:val="Text1"/>
    <w:link w:val="Titolo4Carattere"/>
    <w:uiPriority w:val="9"/>
    <w:semiHidden/>
    <w:unhideWhenUsed/>
    <w:qFormat/>
    <w:pPr>
      <w:keepNext/>
      <w:numPr>
        <w:ilvl w:val="3"/>
        <w:numId w:val="45"/>
      </w:numPr>
      <w:spacing w:before="120" w:after="120" w:line="240" w:lineRule="auto"/>
      <w:jc w:val="both"/>
      <w:outlineLvl w:val="3"/>
    </w:pPr>
    <w:rPr>
      <w:rFonts w:ascii="Times New Roman" w:eastAsia="Times New Roman" w:hAnsi="Times New Roman"/>
      <w:bCs/>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e"/>
    <w:next w:val="Normale"/>
    <w:pPr>
      <w:spacing w:after="0" w:line="240" w:lineRule="auto"/>
      <w:jc w:val="both"/>
    </w:pPr>
    <w:rPr>
      <w:rFonts w:ascii="Times New Roman" w:hAnsi="Times New Roman"/>
      <w:sz w:val="24"/>
    </w:rPr>
  </w:style>
  <w:style w:type="paragraph" w:styleId="Intestazione">
    <w:name w:val="header"/>
    <w:basedOn w:val="Normale"/>
    <w:link w:val="IntestazioneCarattere"/>
    <w:uiPriority w:val="99"/>
    <w:unhideWhenUse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tyle>
  <w:style w:type="paragraph" w:customStyle="1" w:styleId="FooterCoverPage">
    <w:name w:val="Footer Cover Page"/>
    <w:basedOn w:val="Normale"/>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cs="Times New Roman"/>
      <w:sz w:val="24"/>
    </w:rPr>
  </w:style>
  <w:style w:type="paragraph" w:customStyle="1" w:styleId="FooterSensitivity">
    <w:name w:val="Footer Sensitivity"/>
    <w:basedOn w:val="Normale"/>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FooterSensitivityChar">
    <w:name w:val="Footer Sensitivity Char"/>
    <w:link w:val="FooterSensitivity"/>
    <w:rPr>
      <w:rFonts w:ascii="Times New Roman" w:hAnsi="Times New Roman" w:cs="Times New Roman"/>
      <w:b/>
      <w:sz w:val="32"/>
    </w:rPr>
  </w:style>
  <w:style w:type="paragraph" w:customStyle="1" w:styleId="HeaderCoverPage">
    <w:name w:val="Header Cover Page"/>
    <w:basedOn w:val="Normale"/>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cs="Times New Roman"/>
      <w:sz w:val="24"/>
    </w:rPr>
  </w:style>
  <w:style w:type="paragraph" w:customStyle="1" w:styleId="HeaderSensitivity">
    <w:name w:val="Header Sensitivity"/>
    <w:basedOn w:val="Normale"/>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character" w:customStyle="1" w:styleId="HeaderSensitivityChar">
    <w:name w:val="Header Sensitivity Char"/>
    <w:link w:val="HeaderSensitivity"/>
    <w:rPr>
      <w:rFonts w:ascii="Times New Roman" w:hAnsi="Times New Roman" w:cs="Times New Roman"/>
      <w:b/>
      <w:sz w:val="32"/>
    </w:rPr>
  </w:style>
  <w:style w:type="paragraph" w:customStyle="1" w:styleId="HeaderSensitivityRight">
    <w:name w:val="Header Sensitivity Right"/>
    <w:basedOn w:val="Normale"/>
    <w:link w:val="HeaderSensitivityRightChar"/>
    <w:pPr>
      <w:spacing w:after="120" w:line="240" w:lineRule="auto"/>
      <w:jc w:val="right"/>
    </w:pPr>
    <w:rPr>
      <w:rFonts w:ascii="Times New Roman" w:hAnsi="Times New Roman"/>
      <w:sz w:val="28"/>
    </w:rPr>
  </w:style>
  <w:style w:type="character" w:customStyle="1" w:styleId="HeaderSensitivityRightChar">
    <w:name w:val="Header Sensitivity Right Char"/>
    <w:link w:val="HeaderSensitivityRight"/>
    <w:rPr>
      <w:rFonts w:ascii="Times New Roman" w:hAnsi="Times New Roman" w:cs="Times New Roman"/>
      <w:sz w:val="28"/>
    </w:rPr>
  </w:style>
  <w:style w:type="character" w:customStyle="1" w:styleId="Titolo1Carattere">
    <w:name w:val="Titolo 1 Carattere"/>
    <w:link w:val="Titolo1"/>
    <w:uiPriority w:val="9"/>
    <w:rPr>
      <w:rFonts w:ascii="Times New Roman" w:eastAsia="Times New Roman" w:hAnsi="Times New Roman" w:cs="Times New Roman"/>
      <w:b/>
      <w:bCs/>
      <w:smallCaps/>
      <w:sz w:val="24"/>
      <w:szCs w:val="28"/>
    </w:rPr>
  </w:style>
  <w:style w:type="character" w:customStyle="1" w:styleId="Titolo2Carattere">
    <w:name w:val="Titolo 2 Carattere"/>
    <w:link w:val="Titolo2"/>
    <w:uiPriority w:val="9"/>
    <w:semiHidden/>
    <w:rPr>
      <w:rFonts w:ascii="Times New Roman" w:eastAsia="Times New Roman" w:hAnsi="Times New Roman" w:cs="Times New Roman"/>
      <w:b/>
      <w:bCs/>
      <w:sz w:val="24"/>
      <w:szCs w:val="26"/>
    </w:rPr>
  </w:style>
  <w:style w:type="character" w:customStyle="1" w:styleId="Titolo3Carattere">
    <w:name w:val="Titolo 3 Carattere"/>
    <w:link w:val="Titolo3"/>
    <w:uiPriority w:val="9"/>
    <w:semiHidden/>
    <w:rPr>
      <w:rFonts w:ascii="Times New Roman" w:eastAsia="Times New Roman" w:hAnsi="Times New Roman" w:cs="Times New Roman"/>
      <w:bCs/>
      <w:i/>
      <w:sz w:val="24"/>
    </w:rPr>
  </w:style>
  <w:style w:type="character" w:customStyle="1" w:styleId="Titolo4Carattere">
    <w:name w:val="Titolo 4 Carattere"/>
    <w:link w:val="Titolo4"/>
    <w:uiPriority w:val="9"/>
    <w:semiHidden/>
    <w:rPr>
      <w:rFonts w:ascii="Times New Roman" w:eastAsia="Times New Roman" w:hAnsi="Times New Roman" w:cs="Times New Roman"/>
      <w:bCs/>
      <w:iCs/>
      <w:sz w:val="24"/>
    </w:rPr>
  </w:style>
  <w:style w:type="numbering" w:customStyle="1" w:styleId="NoList1">
    <w:name w:val="No List1"/>
    <w:next w:val="Nessunelenco"/>
    <w:uiPriority w:val="99"/>
    <w:semiHidden/>
    <w:unhideWhenUsed/>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unhideWhenUsed/>
    <w:pPr>
      <w:spacing w:before="120" w:after="120" w:line="240" w:lineRule="auto"/>
      <w:jc w:val="both"/>
    </w:pPr>
    <w:rPr>
      <w:rFonts w:ascii="Times New Roman" w:hAnsi="Times New Roman"/>
      <w:sz w:val="20"/>
      <w:szCs w:val="20"/>
    </w:rPr>
  </w:style>
  <w:style w:type="character" w:customStyle="1" w:styleId="TestocommentoCarattere">
    <w:name w:val="Testo commento Carattere"/>
    <w:link w:val="Testocommento"/>
    <w:uiPriority w:val="99"/>
    <w:rPr>
      <w:rFonts w:ascii="Times New Roman" w:hAnsi="Times New Roman" w:cs="Times New Roman"/>
      <w:sz w:val="20"/>
      <w:szCs w:val="20"/>
    </w:rPr>
  </w:style>
  <w:style w:type="paragraph" w:styleId="Testofumetto">
    <w:name w:val="Balloon Text"/>
    <w:basedOn w:val="Normale"/>
    <w:link w:val="TestofumettoCarattere"/>
    <w:uiPriority w:val="99"/>
    <w:semiHidden/>
    <w:unhideWhenUsed/>
    <w:pPr>
      <w:spacing w:after="0" w:line="240" w:lineRule="auto"/>
      <w:jc w:val="both"/>
    </w:pPr>
    <w:rPr>
      <w:rFonts w:ascii="Segoe UI" w:hAnsi="Segoe UI" w:cs="Segoe UI"/>
      <w:sz w:val="18"/>
      <w:szCs w:val="18"/>
    </w:rPr>
  </w:style>
  <w:style w:type="character" w:customStyle="1" w:styleId="TestofumettoCarattere">
    <w:name w:val="Testo fumetto Carattere"/>
    <w:link w:val="Testofumetto"/>
    <w:uiPriority w:val="99"/>
    <w:semiHidden/>
    <w:rPr>
      <w:rFonts w:ascii="Segoe UI" w:hAnsi="Segoe UI" w:cs="Segoe UI"/>
      <w:sz w:val="18"/>
      <w:szCs w:val="18"/>
    </w:rPr>
  </w:style>
  <w:style w:type="paragraph" w:styleId="Puntoelenco">
    <w:name w:val="List Bullet"/>
    <w:basedOn w:val="Normale"/>
    <w:uiPriority w:val="99"/>
    <w:semiHidden/>
    <w:unhideWhenUsed/>
    <w:pPr>
      <w:numPr>
        <w:numId w:val="1"/>
      </w:numPr>
      <w:spacing w:before="120" w:after="120" w:line="240" w:lineRule="auto"/>
      <w:contextualSpacing/>
      <w:jc w:val="both"/>
    </w:pPr>
    <w:rPr>
      <w:rFonts w:ascii="Times New Roman" w:hAnsi="Times New Roman"/>
      <w:sz w:val="24"/>
    </w:rPr>
  </w:style>
  <w:style w:type="paragraph" w:styleId="Puntoelenco2">
    <w:name w:val="List Bullet 2"/>
    <w:basedOn w:val="Normale"/>
    <w:uiPriority w:val="99"/>
    <w:semiHidden/>
    <w:unhideWhenUsed/>
    <w:pPr>
      <w:numPr>
        <w:numId w:val="2"/>
      </w:numPr>
      <w:spacing w:before="120" w:after="120" w:line="240" w:lineRule="auto"/>
      <w:contextualSpacing/>
      <w:jc w:val="both"/>
    </w:pPr>
    <w:rPr>
      <w:rFonts w:ascii="Times New Roman" w:hAnsi="Times New Roman"/>
      <w:sz w:val="24"/>
    </w:rPr>
  </w:style>
  <w:style w:type="paragraph" w:styleId="Puntoelenco3">
    <w:name w:val="List Bullet 3"/>
    <w:basedOn w:val="Normale"/>
    <w:uiPriority w:val="99"/>
    <w:semiHidden/>
    <w:unhideWhenUsed/>
    <w:pPr>
      <w:numPr>
        <w:numId w:val="3"/>
      </w:numPr>
      <w:spacing w:before="120" w:after="120" w:line="240" w:lineRule="auto"/>
      <w:contextualSpacing/>
      <w:jc w:val="both"/>
    </w:pPr>
    <w:rPr>
      <w:rFonts w:ascii="Times New Roman" w:hAnsi="Times New Roman"/>
      <w:sz w:val="24"/>
    </w:rPr>
  </w:style>
  <w:style w:type="paragraph" w:styleId="Puntoelenco4">
    <w:name w:val="List Bullet 4"/>
    <w:basedOn w:val="Normale"/>
    <w:uiPriority w:val="99"/>
    <w:semiHidden/>
    <w:unhideWhenUsed/>
    <w:pPr>
      <w:numPr>
        <w:numId w:val="4"/>
      </w:numPr>
      <w:spacing w:before="120" w:after="120" w:line="240" w:lineRule="auto"/>
      <w:contextualSpacing/>
      <w:jc w:val="both"/>
    </w:pPr>
    <w:rPr>
      <w:rFonts w:ascii="Times New Roman" w:hAnsi="Times New Roman"/>
      <w:sz w:val="24"/>
    </w:rPr>
  </w:style>
  <w:style w:type="paragraph" w:styleId="Paragrafoelenco">
    <w:name w:val="List Paragraph"/>
    <w:basedOn w:val="Normale"/>
    <w:uiPriority w:val="34"/>
    <w:qFormat/>
    <w:pPr>
      <w:spacing w:after="160" w:line="259" w:lineRule="auto"/>
      <w:ind w:left="720"/>
      <w:contextualSpacing/>
    </w:p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rFonts w:ascii="Times New Roman" w:hAnsi="Times New Roman" w:cs="Times New Roman"/>
      <w:b/>
      <w:bCs/>
      <w:sz w:val="20"/>
      <w:szCs w:val="20"/>
    </w:rPr>
  </w:style>
  <w:style w:type="paragraph" w:customStyle="1" w:styleId="Titreobjet">
    <w:name w:val="Titre objet"/>
    <w:basedOn w:val="Normale"/>
    <w:next w:val="IntrtEEE"/>
    <w:pPr>
      <w:spacing w:before="360" w:after="360" w:line="240" w:lineRule="auto"/>
      <w:jc w:val="center"/>
    </w:pPr>
    <w:rPr>
      <w:rFonts w:ascii="Times New Roman" w:hAnsi="Times New Roman"/>
      <w:b/>
      <w:sz w:val="24"/>
    </w:rPr>
  </w:style>
  <w:style w:type="paragraph" w:customStyle="1" w:styleId="TitreobjetPagedecouverture">
    <w:name w:val="Titre objet (Page de couverture)"/>
    <w:basedOn w:val="Titreobjet"/>
    <w:next w:val="IntrtEEEPagedecouverture"/>
  </w:style>
  <w:style w:type="paragraph" w:styleId="Didascalia">
    <w:name w:val="caption"/>
    <w:basedOn w:val="Normale"/>
    <w:next w:val="Normale"/>
    <w:uiPriority w:val="35"/>
    <w:semiHidden/>
    <w:unhideWhenUsed/>
    <w:qFormat/>
    <w:pPr>
      <w:spacing w:line="240" w:lineRule="auto"/>
      <w:jc w:val="both"/>
    </w:pPr>
    <w:rPr>
      <w:rFonts w:ascii="Times New Roman" w:hAnsi="Times New Roman"/>
      <w:i/>
      <w:iCs/>
      <w:color w:val="1F497D"/>
      <w:sz w:val="18"/>
      <w:szCs w:val="18"/>
    </w:rPr>
  </w:style>
  <w:style w:type="paragraph" w:styleId="Indicedellefigure">
    <w:name w:val="table of figures"/>
    <w:basedOn w:val="Normale"/>
    <w:next w:val="Normale"/>
    <w:uiPriority w:val="99"/>
    <w:semiHidden/>
    <w:unhideWhenUsed/>
    <w:pPr>
      <w:spacing w:before="120" w:after="0" w:line="240" w:lineRule="auto"/>
      <w:jc w:val="both"/>
    </w:pPr>
    <w:rPr>
      <w:rFonts w:ascii="Times New Roman" w:hAnsi="Times New Roman"/>
      <w:sz w:val="24"/>
    </w:rPr>
  </w:style>
  <w:style w:type="paragraph" w:styleId="Numeroelenco">
    <w:name w:val="List Number"/>
    <w:basedOn w:val="Normale"/>
    <w:uiPriority w:val="99"/>
    <w:semiHidden/>
    <w:unhideWhenUsed/>
    <w:pPr>
      <w:numPr>
        <w:numId w:val="5"/>
      </w:numPr>
      <w:spacing w:before="120" w:after="120" w:line="240" w:lineRule="auto"/>
      <w:contextualSpacing/>
      <w:jc w:val="both"/>
    </w:pPr>
    <w:rPr>
      <w:rFonts w:ascii="Times New Roman" w:hAnsi="Times New Roman"/>
      <w:sz w:val="24"/>
    </w:rPr>
  </w:style>
  <w:style w:type="paragraph" w:styleId="Numeroelenco2">
    <w:name w:val="List Number 2"/>
    <w:basedOn w:val="Normale"/>
    <w:uiPriority w:val="99"/>
    <w:semiHidden/>
    <w:unhideWhenUsed/>
    <w:pPr>
      <w:numPr>
        <w:numId w:val="6"/>
      </w:numPr>
      <w:spacing w:before="120" w:after="120" w:line="240" w:lineRule="auto"/>
      <w:contextualSpacing/>
      <w:jc w:val="both"/>
    </w:pPr>
    <w:rPr>
      <w:rFonts w:ascii="Times New Roman" w:hAnsi="Times New Roman"/>
      <w:sz w:val="24"/>
    </w:rPr>
  </w:style>
  <w:style w:type="paragraph" w:styleId="Numeroelenco3">
    <w:name w:val="List Number 3"/>
    <w:basedOn w:val="Normale"/>
    <w:uiPriority w:val="99"/>
    <w:semiHidden/>
    <w:unhideWhenUsed/>
    <w:pPr>
      <w:numPr>
        <w:numId w:val="7"/>
      </w:numPr>
      <w:spacing w:before="120" w:after="120" w:line="240" w:lineRule="auto"/>
      <w:contextualSpacing/>
      <w:jc w:val="both"/>
    </w:pPr>
    <w:rPr>
      <w:rFonts w:ascii="Times New Roman" w:hAnsi="Times New Roman"/>
      <w:sz w:val="24"/>
    </w:rPr>
  </w:style>
  <w:style w:type="paragraph" w:styleId="Numeroelenco4">
    <w:name w:val="List Number 4"/>
    <w:basedOn w:val="Normale"/>
    <w:uiPriority w:val="99"/>
    <w:semiHidden/>
    <w:unhideWhenUsed/>
    <w:pPr>
      <w:numPr>
        <w:numId w:val="8"/>
      </w:numPr>
      <w:spacing w:before="120" w:after="120" w:line="240" w:lineRule="auto"/>
      <w:contextualSpacing/>
      <w:jc w:val="both"/>
    </w:pPr>
    <w:rPr>
      <w:rFonts w:ascii="Times New Roman" w:hAnsi="Times New Roman"/>
      <w:sz w:val="24"/>
    </w:rPr>
  </w:style>
  <w:style w:type="character" w:styleId="Collegamentoipertestuale">
    <w:name w:val="Hyperlink"/>
    <w:uiPriority w:val="99"/>
    <w:unhideWhenUsed/>
    <w:rPr>
      <w:color w:val="0000FF"/>
      <w:u w:val="single"/>
    </w:rPr>
  </w:style>
  <w:style w:type="paragraph" w:customStyle="1" w:styleId="Normal1">
    <w:name w:val="Normal1"/>
    <w:basedOn w:val="Normale"/>
    <w:pPr>
      <w:spacing w:before="100" w:beforeAutospacing="1" w:after="100" w:afterAutospacing="1" w:line="240" w:lineRule="auto"/>
    </w:pPr>
    <w:rPr>
      <w:rFonts w:ascii="Times New Roman" w:eastAsia="Times New Roman" w:hAnsi="Times New Roman"/>
      <w:sz w:val="24"/>
      <w:szCs w:val="24"/>
      <w:lang w:eastAsia="en-GB"/>
    </w:rPr>
  </w:style>
  <w:style w:type="character" w:styleId="Enfasicorsivo">
    <w:name w:val="Emphasis"/>
    <w:uiPriority w:val="20"/>
    <w:qFormat/>
    <w:rPr>
      <w:i/>
      <w:iCs/>
    </w:rPr>
  </w:style>
  <w:style w:type="paragraph" w:styleId="Testonotaapidipagina">
    <w:name w:val="footnote text"/>
    <w:basedOn w:val="Normale"/>
    <w:link w:val="TestonotaapidipaginaCarattere"/>
    <w:uiPriority w:val="99"/>
    <w:semiHidden/>
    <w:unhideWhenUsed/>
    <w:pPr>
      <w:spacing w:after="0" w:line="240" w:lineRule="auto"/>
      <w:ind w:left="720" w:hanging="720"/>
      <w:jc w:val="both"/>
    </w:pPr>
    <w:rPr>
      <w:rFonts w:ascii="Times New Roman" w:hAnsi="Times New Roman"/>
      <w:sz w:val="20"/>
      <w:szCs w:val="20"/>
    </w:rPr>
  </w:style>
  <w:style w:type="character" w:customStyle="1" w:styleId="TestonotaapidipaginaCarattere">
    <w:name w:val="Testo nota a piè di pagina Carattere"/>
    <w:link w:val="Testonotaapidipagina"/>
    <w:uiPriority w:val="99"/>
    <w:semiHidden/>
    <w:rPr>
      <w:rFonts w:ascii="Times New Roman" w:hAnsi="Times New Roman" w:cs="Times New Roman"/>
      <w:sz w:val="20"/>
      <w:szCs w:val="20"/>
    </w:rPr>
  </w:style>
  <w:style w:type="paragraph" w:styleId="Titolosommario">
    <w:name w:val="TOC Heading"/>
    <w:basedOn w:val="Normale"/>
    <w:next w:val="Normale"/>
    <w:uiPriority w:val="39"/>
    <w:semiHidden/>
    <w:unhideWhenUsed/>
    <w:qFormat/>
    <w:pPr>
      <w:spacing w:before="120" w:after="240" w:line="240" w:lineRule="auto"/>
      <w:jc w:val="center"/>
    </w:pPr>
    <w:rPr>
      <w:rFonts w:ascii="Times New Roman" w:hAnsi="Times New Roman"/>
      <w:b/>
      <w:sz w:val="28"/>
    </w:rPr>
  </w:style>
  <w:style w:type="paragraph" w:styleId="Sommario1">
    <w:name w:val="toc 1"/>
    <w:basedOn w:val="Normale"/>
    <w:next w:val="Normale"/>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Sommario2">
    <w:name w:val="toc 2"/>
    <w:basedOn w:val="Normale"/>
    <w:next w:val="Normale"/>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Sommario3">
    <w:name w:val="toc 3"/>
    <w:basedOn w:val="Normale"/>
    <w:next w:val="Normale"/>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Sommario4">
    <w:name w:val="toc 4"/>
    <w:basedOn w:val="Normale"/>
    <w:next w:val="Normale"/>
    <w:uiPriority w:val="39"/>
    <w:semiHidden/>
    <w:unhideWhenUsed/>
    <w:pPr>
      <w:tabs>
        <w:tab w:val="right" w:leader="dot" w:pos="9071"/>
      </w:tabs>
      <w:spacing w:before="60" w:after="120" w:line="240" w:lineRule="auto"/>
      <w:ind w:left="850" w:hanging="850"/>
    </w:pPr>
    <w:rPr>
      <w:rFonts w:ascii="Times New Roman" w:hAnsi="Times New Roman"/>
      <w:sz w:val="24"/>
    </w:rPr>
  </w:style>
  <w:style w:type="paragraph" w:styleId="Sommario5">
    <w:name w:val="toc 5"/>
    <w:basedOn w:val="Normale"/>
    <w:next w:val="Normale"/>
    <w:uiPriority w:val="39"/>
    <w:semiHidden/>
    <w:unhideWhenUsed/>
    <w:pPr>
      <w:tabs>
        <w:tab w:val="right" w:leader="dot" w:pos="9071"/>
      </w:tabs>
      <w:spacing w:before="300" w:after="120" w:line="240" w:lineRule="auto"/>
    </w:pPr>
    <w:rPr>
      <w:rFonts w:ascii="Times New Roman" w:hAnsi="Times New Roman"/>
      <w:sz w:val="24"/>
    </w:rPr>
  </w:style>
  <w:style w:type="paragraph" w:styleId="Sommario6">
    <w:name w:val="toc 6"/>
    <w:basedOn w:val="Normale"/>
    <w:next w:val="Normale"/>
    <w:uiPriority w:val="39"/>
    <w:semiHidden/>
    <w:unhideWhenUsed/>
    <w:pPr>
      <w:tabs>
        <w:tab w:val="right" w:leader="dot" w:pos="9071"/>
      </w:tabs>
      <w:spacing w:before="240" w:after="120" w:line="240" w:lineRule="auto"/>
    </w:pPr>
    <w:rPr>
      <w:rFonts w:ascii="Times New Roman" w:hAnsi="Times New Roman"/>
      <w:sz w:val="24"/>
    </w:rPr>
  </w:style>
  <w:style w:type="paragraph" w:styleId="Sommario7">
    <w:name w:val="toc 7"/>
    <w:basedOn w:val="Normale"/>
    <w:next w:val="Normale"/>
    <w:uiPriority w:val="39"/>
    <w:semiHidden/>
    <w:unhideWhenUsed/>
    <w:pPr>
      <w:tabs>
        <w:tab w:val="right" w:leader="dot" w:pos="9071"/>
      </w:tabs>
      <w:spacing w:before="180" w:after="120" w:line="240" w:lineRule="auto"/>
    </w:pPr>
    <w:rPr>
      <w:rFonts w:ascii="Times New Roman" w:hAnsi="Times New Roman"/>
      <w:sz w:val="24"/>
    </w:rPr>
  </w:style>
  <w:style w:type="paragraph" w:styleId="Sommario8">
    <w:name w:val="toc 8"/>
    <w:basedOn w:val="Normale"/>
    <w:next w:val="Normale"/>
    <w:uiPriority w:val="39"/>
    <w:semiHidden/>
    <w:unhideWhenUsed/>
    <w:pPr>
      <w:tabs>
        <w:tab w:val="right" w:leader="dot" w:pos="9071"/>
      </w:tabs>
      <w:spacing w:before="120" w:after="120" w:line="240" w:lineRule="auto"/>
    </w:pPr>
    <w:rPr>
      <w:rFonts w:ascii="Times New Roman" w:hAnsi="Times New Roman"/>
      <w:sz w:val="24"/>
    </w:rPr>
  </w:style>
  <w:style w:type="paragraph" w:styleId="Sommario9">
    <w:name w:val="toc 9"/>
    <w:basedOn w:val="Normale"/>
    <w:next w:val="Normale"/>
    <w:uiPriority w:val="39"/>
    <w:semiHidden/>
    <w:unhideWhenUsed/>
    <w:pPr>
      <w:tabs>
        <w:tab w:val="right" w:leader="dot" w:pos="9071"/>
      </w:tabs>
      <w:spacing w:before="120" w:after="120" w:line="240" w:lineRule="auto"/>
      <w:jc w:val="both"/>
    </w:pPr>
    <w:rPr>
      <w:rFonts w:ascii="Times New Roman" w:hAnsi="Times New Roman"/>
      <w:sz w:val="24"/>
    </w:rPr>
  </w:style>
  <w:style w:type="paragraph" w:customStyle="1" w:styleId="HeaderLandscape">
    <w:name w:val="HeaderLandscape"/>
    <w:basedOn w:val="Normale"/>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e"/>
    <w:pPr>
      <w:tabs>
        <w:tab w:val="center" w:pos="7285"/>
        <w:tab w:val="center" w:pos="10913"/>
        <w:tab w:val="right" w:pos="15137"/>
      </w:tabs>
      <w:spacing w:before="360" w:after="0" w:line="240" w:lineRule="auto"/>
      <w:ind w:left="-567" w:right="-567"/>
    </w:pPr>
    <w:rPr>
      <w:rFonts w:ascii="Times New Roman" w:hAnsi="Times New Roman"/>
      <w:sz w:val="24"/>
    </w:rPr>
  </w:style>
  <w:style w:type="character" w:styleId="Rimandonotaapidipagina">
    <w:name w:val="footnote reference"/>
    <w:uiPriority w:val="99"/>
    <w:semiHidden/>
    <w:unhideWhenUsed/>
    <w:rPr>
      <w:shd w:val="clear" w:color="auto" w:fill="auto"/>
      <w:vertAlign w:val="superscript"/>
    </w:rPr>
  </w:style>
  <w:style w:type="paragraph" w:customStyle="1" w:styleId="Text1">
    <w:name w:val="Text 1"/>
    <w:basedOn w:val="Normale"/>
    <w:pPr>
      <w:spacing w:before="120" w:after="120" w:line="240" w:lineRule="auto"/>
      <w:ind w:left="850"/>
      <w:jc w:val="both"/>
    </w:pPr>
    <w:rPr>
      <w:rFonts w:ascii="Times New Roman" w:hAnsi="Times New Roman"/>
      <w:sz w:val="24"/>
    </w:rPr>
  </w:style>
  <w:style w:type="paragraph" w:customStyle="1" w:styleId="Text2">
    <w:name w:val="Text 2"/>
    <w:basedOn w:val="Normale"/>
    <w:pPr>
      <w:spacing w:before="120" w:after="120" w:line="240" w:lineRule="auto"/>
      <w:ind w:left="1417"/>
      <w:jc w:val="both"/>
    </w:pPr>
    <w:rPr>
      <w:rFonts w:ascii="Times New Roman" w:hAnsi="Times New Roman"/>
      <w:sz w:val="24"/>
    </w:rPr>
  </w:style>
  <w:style w:type="paragraph" w:customStyle="1" w:styleId="Text3">
    <w:name w:val="Text 3"/>
    <w:basedOn w:val="Normale"/>
    <w:pPr>
      <w:spacing w:before="120" w:after="120" w:line="240" w:lineRule="auto"/>
      <w:ind w:left="1984"/>
      <w:jc w:val="both"/>
    </w:pPr>
    <w:rPr>
      <w:rFonts w:ascii="Times New Roman" w:hAnsi="Times New Roman"/>
      <w:sz w:val="24"/>
    </w:rPr>
  </w:style>
  <w:style w:type="paragraph" w:customStyle="1" w:styleId="Text4">
    <w:name w:val="Text 4"/>
    <w:basedOn w:val="Normale"/>
    <w:pPr>
      <w:spacing w:before="120" w:after="120" w:line="240" w:lineRule="auto"/>
      <w:ind w:left="2551"/>
      <w:jc w:val="both"/>
    </w:pPr>
    <w:rPr>
      <w:rFonts w:ascii="Times New Roman" w:hAnsi="Times New Roman"/>
      <w:sz w:val="24"/>
    </w:rPr>
  </w:style>
  <w:style w:type="paragraph" w:customStyle="1" w:styleId="NormalCentered">
    <w:name w:val="Normal Centered"/>
    <w:basedOn w:val="Normale"/>
    <w:pPr>
      <w:spacing w:before="120" w:after="120" w:line="240" w:lineRule="auto"/>
      <w:jc w:val="center"/>
    </w:pPr>
    <w:rPr>
      <w:rFonts w:ascii="Times New Roman" w:hAnsi="Times New Roman"/>
      <w:sz w:val="24"/>
    </w:rPr>
  </w:style>
  <w:style w:type="paragraph" w:customStyle="1" w:styleId="NormalLeft">
    <w:name w:val="Normal Left"/>
    <w:basedOn w:val="Normale"/>
    <w:pPr>
      <w:spacing w:before="120" w:after="120" w:line="240" w:lineRule="auto"/>
    </w:pPr>
    <w:rPr>
      <w:rFonts w:ascii="Times New Roman" w:hAnsi="Times New Roman"/>
      <w:sz w:val="24"/>
    </w:rPr>
  </w:style>
  <w:style w:type="paragraph" w:customStyle="1" w:styleId="NormalRight">
    <w:name w:val="Normal Right"/>
    <w:basedOn w:val="Normale"/>
    <w:pPr>
      <w:spacing w:before="120" w:after="120" w:line="240" w:lineRule="auto"/>
      <w:jc w:val="right"/>
    </w:pPr>
    <w:rPr>
      <w:rFonts w:ascii="Times New Roman" w:hAnsi="Times New Roman"/>
      <w:sz w:val="24"/>
    </w:rPr>
  </w:style>
  <w:style w:type="paragraph" w:customStyle="1" w:styleId="QuotedText">
    <w:name w:val="Quoted Text"/>
    <w:basedOn w:val="Normale"/>
    <w:pPr>
      <w:spacing w:before="120" w:after="120" w:line="240" w:lineRule="auto"/>
      <w:ind w:left="1417"/>
      <w:jc w:val="both"/>
    </w:pPr>
    <w:rPr>
      <w:rFonts w:ascii="Times New Roman" w:hAnsi="Times New Roman"/>
      <w:sz w:val="24"/>
    </w:rPr>
  </w:style>
  <w:style w:type="paragraph" w:customStyle="1" w:styleId="Point0">
    <w:name w:val="Point 0"/>
    <w:basedOn w:val="Normale"/>
    <w:pPr>
      <w:spacing w:before="120" w:after="120" w:line="240" w:lineRule="auto"/>
      <w:ind w:left="850" w:hanging="850"/>
      <w:jc w:val="both"/>
    </w:pPr>
    <w:rPr>
      <w:rFonts w:ascii="Times New Roman" w:hAnsi="Times New Roman"/>
      <w:sz w:val="24"/>
    </w:rPr>
  </w:style>
  <w:style w:type="paragraph" w:customStyle="1" w:styleId="Point1">
    <w:name w:val="Point 1"/>
    <w:basedOn w:val="Normale"/>
    <w:pPr>
      <w:spacing w:before="120" w:after="120" w:line="240" w:lineRule="auto"/>
      <w:ind w:left="1417" w:hanging="567"/>
      <w:jc w:val="both"/>
    </w:pPr>
    <w:rPr>
      <w:rFonts w:ascii="Times New Roman" w:hAnsi="Times New Roman"/>
      <w:sz w:val="24"/>
    </w:rPr>
  </w:style>
  <w:style w:type="paragraph" w:customStyle="1" w:styleId="Point2">
    <w:name w:val="Point 2"/>
    <w:basedOn w:val="Normale"/>
    <w:pPr>
      <w:spacing w:before="120" w:after="120" w:line="240" w:lineRule="auto"/>
      <w:ind w:left="1984" w:hanging="567"/>
      <w:jc w:val="both"/>
    </w:pPr>
    <w:rPr>
      <w:rFonts w:ascii="Times New Roman" w:hAnsi="Times New Roman"/>
      <w:sz w:val="24"/>
    </w:rPr>
  </w:style>
  <w:style w:type="paragraph" w:customStyle="1" w:styleId="Point3">
    <w:name w:val="Point 3"/>
    <w:basedOn w:val="Normale"/>
    <w:pPr>
      <w:spacing w:before="120" w:after="120" w:line="240" w:lineRule="auto"/>
      <w:ind w:left="2551" w:hanging="567"/>
      <w:jc w:val="both"/>
    </w:pPr>
    <w:rPr>
      <w:rFonts w:ascii="Times New Roman" w:hAnsi="Times New Roman"/>
      <w:sz w:val="24"/>
    </w:rPr>
  </w:style>
  <w:style w:type="paragraph" w:customStyle="1" w:styleId="Point4">
    <w:name w:val="Point 4"/>
    <w:basedOn w:val="Normale"/>
    <w:pPr>
      <w:spacing w:before="120" w:after="120" w:line="240" w:lineRule="auto"/>
      <w:ind w:left="3118" w:hanging="567"/>
      <w:jc w:val="both"/>
    </w:pPr>
    <w:rPr>
      <w:rFonts w:ascii="Times New Roman" w:hAnsi="Times New Roman"/>
      <w:sz w:val="24"/>
    </w:r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e"/>
    <w:pPr>
      <w:tabs>
        <w:tab w:val="left" w:pos="850"/>
      </w:tabs>
      <w:spacing w:before="120" w:after="120" w:line="240" w:lineRule="auto"/>
      <w:ind w:left="1417" w:hanging="1417"/>
      <w:jc w:val="both"/>
    </w:pPr>
    <w:rPr>
      <w:rFonts w:ascii="Times New Roman" w:hAnsi="Times New Roman"/>
      <w:sz w:val="24"/>
    </w:rPr>
  </w:style>
  <w:style w:type="paragraph" w:customStyle="1" w:styleId="PointDouble1">
    <w:name w:val="PointDouble 1"/>
    <w:basedOn w:val="Normale"/>
    <w:pPr>
      <w:tabs>
        <w:tab w:val="left" w:pos="1417"/>
      </w:tabs>
      <w:spacing w:before="120" w:after="120" w:line="240" w:lineRule="auto"/>
      <w:ind w:left="1984" w:hanging="1134"/>
      <w:jc w:val="both"/>
    </w:pPr>
    <w:rPr>
      <w:rFonts w:ascii="Times New Roman" w:hAnsi="Times New Roman"/>
      <w:sz w:val="24"/>
    </w:rPr>
  </w:style>
  <w:style w:type="paragraph" w:customStyle="1" w:styleId="PointDouble2">
    <w:name w:val="PointDouble 2"/>
    <w:basedOn w:val="Normale"/>
    <w:pPr>
      <w:tabs>
        <w:tab w:val="left" w:pos="1984"/>
      </w:tabs>
      <w:spacing w:before="120" w:after="120" w:line="240" w:lineRule="auto"/>
      <w:ind w:left="2551" w:hanging="1134"/>
      <w:jc w:val="both"/>
    </w:pPr>
    <w:rPr>
      <w:rFonts w:ascii="Times New Roman" w:hAnsi="Times New Roman"/>
      <w:sz w:val="24"/>
    </w:rPr>
  </w:style>
  <w:style w:type="paragraph" w:customStyle="1" w:styleId="PointDouble3">
    <w:name w:val="PointDouble 3"/>
    <w:basedOn w:val="Normale"/>
    <w:pPr>
      <w:tabs>
        <w:tab w:val="left" w:pos="2551"/>
      </w:tabs>
      <w:spacing w:before="120" w:after="120" w:line="240" w:lineRule="auto"/>
      <w:ind w:left="3118" w:hanging="1134"/>
      <w:jc w:val="both"/>
    </w:pPr>
    <w:rPr>
      <w:rFonts w:ascii="Times New Roman" w:hAnsi="Times New Roman"/>
      <w:sz w:val="24"/>
    </w:rPr>
  </w:style>
  <w:style w:type="paragraph" w:customStyle="1" w:styleId="PointDouble4">
    <w:name w:val="PointDouble 4"/>
    <w:basedOn w:val="Normale"/>
    <w:pPr>
      <w:tabs>
        <w:tab w:val="left" w:pos="3118"/>
      </w:tabs>
      <w:spacing w:before="120" w:after="120" w:line="240" w:lineRule="auto"/>
      <w:ind w:left="3685" w:hanging="1134"/>
      <w:jc w:val="both"/>
    </w:pPr>
    <w:rPr>
      <w:rFonts w:ascii="Times New Roman" w:hAnsi="Times New Roman"/>
      <w:sz w:val="24"/>
    </w:rPr>
  </w:style>
  <w:style w:type="paragraph" w:customStyle="1" w:styleId="PointTriple0">
    <w:name w:val="PointTriple 0"/>
    <w:basedOn w:val="Normale"/>
    <w:pPr>
      <w:tabs>
        <w:tab w:val="left" w:pos="850"/>
        <w:tab w:val="left" w:pos="1417"/>
      </w:tabs>
      <w:spacing w:before="120" w:after="120" w:line="240" w:lineRule="auto"/>
      <w:ind w:left="1984" w:hanging="1984"/>
      <w:jc w:val="both"/>
    </w:pPr>
    <w:rPr>
      <w:rFonts w:ascii="Times New Roman" w:hAnsi="Times New Roman"/>
      <w:sz w:val="24"/>
    </w:rPr>
  </w:style>
  <w:style w:type="paragraph" w:customStyle="1" w:styleId="PointTriple1">
    <w:name w:val="PointTriple 1"/>
    <w:basedOn w:val="Normale"/>
    <w:pPr>
      <w:tabs>
        <w:tab w:val="left" w:pos="1417"/>
        <w:tab w:val="left" w:pos="1984"/>
      </w:tabs>
      <w:spacing w:before="120" w:after="120" w:line="240" w:lineRule="auto"/>
      <w:ind w:left="2551" w:hanging="1701"/>
      <w:jc w:val="both"/>
    </w:pPr>
    <w:rPr>
      <w:rFonts w:ascii="Times New Roman" w:hAnsi="Times New Roman"/>
      <w:sz w:val="24"/>
    </w:rPr>
  </w:style>
  <w:style w:type="paragraph" w:customStyle="1" w:styleId="PointTriple2">
    <w:name w:val="PointTriple 2"/>
    <w:basedOn w:val="Normale"/>
    <w:pPr>
      <w:tabs>
        <w:tab w:val="left" w:pos="1984"/>
        <w:tab w:val="left" w:pos="2551"/>
      </w:tabs>
      <w:spacing w:before="120" w:after="120" w:line="240" w:lineRule="auto"/>
      <w:ind w:left="3118" w:hanging="1701"/>
      <w:jc w:val="both"/>
    </w:pPr>
    <w:rPr>
      <w:rFonts w:ascii="Times New Roman" w:hAnsi="Times New Roman"/>
      <w:sz w:val="24"/>
    </w:rPr>
  </w:style>
  <w:style w:type="paragraph" w:customStyle="1" w:styleId="PointTriple3">
    <w:name w:val="PointTriple 3"/>
    <w:basedOn w:val="Normale"/>
    <w:pPr>
      <w:tabs>
        <w:tab w:val="left" w:pos="2551"/>
        <w:tab w:val="left" w:pos="3118"/>
      </w:tabs>
      <w:spacing w:before="120" w:after="120" w:line="240" w:lineRule="auto"/>
      <w:ind w:left="3685" w:hanging="1701"/>
      <w:jc w:val="both"/>
    </w:pPr>
    <w:rPr>
      <w:rFonts w:ascii="Times New Roman" w:hAnsi="Times New Roman"/>
      <w:sz w:val="24"/>
    </w:rPr>
  </w:style>
  <w:style w:type="paragraph" w:customStyle="1" w:styleId="PointTriple4">
    <w:name w:val="PointTriple 4"/>
    <w:basedOn w:val="Normale"/>
    <w:pPr>
      <w:tabs>
        <w:tab w:val="left" w:pos="3118"/>
        <w:tab w:val="left" w:pos="3685"/>
      </w:tabs>
      <w:spacing w:before="120" w:after="120" w:line="240" w:lineRule="auto"/>
      <w:ind w:left="4252" w:hanging="1701"/>
      <w:jc w:val="both"/>
    </w:pPr>
    <w:rPr>
      <w:rFonts w:ascii="Times New Roman" w:hAnsi="Times New Roman"/>
      <w:sz w:val="24"/>
    </w:rPr>
  </w:style>
  <w:style w:type="paragraph" w:customStyle="1" w:styleId="NumPar1">
    <w:name w:val="NumPar 1"/>
    <w:basedOn w:val="Normale"/>
    <w:next w:val="Text1"/>
    <w:pPr>
      <w:numPr>
        <w:numId w:val="44"/>
      </w:numPr>
      <w:spacing w:before="120" w:after="120" w:line="240" w:lineRule="auto"/>
      <w:jc w:val="both"/>
    </w:pPr>
    <w:rPr>
      <w:rFonts w:ascii="Times New Roman" w:hAnsi="Times New Roman"/>
      <w:sz w:val="24"/>
    </w:rPr>
  </w:style>
  <w:style w:type="paragraph" w:customStyle="1" w:styleId="NumPar2">
    <w:name w:val="NumPar 2"/>
    <w:basedOn w:val="Normale"/>
    <w:next w:val="Text1"/>
    <w:pPr>
      <w:numPr>
        <w:ilvl w:val="1"/>
        <w:numId w:val="44"/>
      </w:numPr>
      <w:spacing w:before="120" w:after="120" w:line="240" w:lineRule="auto"/>
      <w:jc w:val="both"/>
    </w:pPr>
    <w:rPr>
      <w:rFonts w:ascii="Times New Roman" w:hAnsi="Times New Roman"/>
      <w:sz w:val="24"/>
    </w:rPr>
  </w:style>
  <w:style w:type="paragraph" w:customStyle="1" w:styleId="NumPar3">
    <w:name w:val="NumPar 3"/>
    <w:basedOn w:val="Normale"/>
    <w:next w:val="Text1"/>
    <w:pPr>
      <w:numPr>
        <w:ilvl w:val="2"/>
        <w:numId w:val="44"/>
      </w:numPr>
      <w:spacing w:before="120" w:after="120" w:line="240" w:lineRule="auto"/>
      <w:jc w:val="both"/>
    </w:pPr>
    <w:rPr>
      <w:rFonts w:ascii="Times New Roman" w:hAnsi="Times New Roman"/>
      <w:sz w:val="24"/>
    </w:rPr>
  </w:style>
  <w:style w:type="paragraph" w:customStyle="1" w:styleId="NumPar4">
    <w:name w:val="NumPar 4"/>
    <w:basedOn w:val="Normale"/>
    <w:next w:val="Text1"/>
    <w:pPr>
      <w:numPr>
        <w:ilvl w:val="3"/>
        <w:numId w:val="44"/>
      </w:numPr>
      <w:spacing w:before="120" w:after="120" w:line="240" w:lineRule="auto"/>
      <w:jc w:val="both"/>
    </w:pPr>
    <w:rPr>
      <w:rFonts w:ascii="Times New Roman" w:hAnsi="Times New Roman"/>
      <w:sz w:val="24"/>
    </w:rPr>
  </w:style>
  <w:style w:type="paragraph" w:customStyle="1" w:styleId="ManualNumPar1">
    <w:name w:val="Manual NumPar 1"/>
    <w:basedOn w:val="Normale"/>
    <w:next w:val="Text1"/>
    <w:pPr>
      <w:spacing w:before="120" w:after="120" w:line="240" w:lineRule="auto"/>
      <w:ind w:left="850" w:hanging="850"/>
      <w:jc w:val="both"/>
    </w:pPr>
    <w:rPr>
      <w:rFonts w:ascii="Times New Roman" w:hAnsi="Times New Roman"/>
      <w:sz w:val="24"/>
    </w:rPr>
  </w:style>
  <w:style w:type="paragraph" w:customStyle="1" w:styleId="ManualNumPar2">
    <w:name w:val="Manual NumPar 2"/>
    <w:basedOn w:val="Normale"/>
    <w:next w:val="Text1"/>
    <w:pPr>
      <w:spacing w:before="120" w:after="120" w:line="240" w:lineRule="auto"/>
      <w:ind w:left="850" w:hanging="850"/>
      <w:jc w:val="both"/>
    </w:pPr>
    <w:rPr>
      <w:rFonts w:ascii="Times New Roman" w:hAnsi="Times New Roman"/>
      <w:sz w:val="24"/>
    </w:rPr>
  </w:style>
  <w:style w:type="paragraph" w:customStyle="1" w:styleId="ManualNumPar3">
    <w:name w:val="Manual NumPar 3"/>
    <w:basedOn w:val="Normale"/>
    <w:next w:val="Text1"/>
    <w:pPr>
      <w:spacing w:before="120" w:after="120" w:line="240" w:lineRule="auto"/>
      <w:ind w:left="850" w:hanging="850"/>
      <w:jc w:val="both"/>
    </w:pPr>
    <w:rPr>
      <w:rFonts w:ascii="Times New Roman" w:hAnsi="Times New Roman"/>
      <w:sz w:val="24"/>
    </w:rPr>
  </w:style>
  <w:style w:type="paragraph" w:customStyle="1" w:styleId="ManualNumPar4">
    <w:name w:val="Manual NumPar 4"/>
    <w:basedOn w:val="Normale"/>
    <w:next w:val="Text1"/>
    <w:pPr>
      <w:spacing w:before="120" w:after="120" w:line="240" w:lineRule="auto"/>
      <w:ind w:left="850" w:hanging="850"/>
      <w:jc w:val="both"/>
    </w:pPr>
    <w:rPr>
      <w:rFonts w:ascii="Times New Roman" w:hAnsi="Times New Roman"/>
      <w:sz w:val="24"/>
    </w:rPr>
  </w:style>
  <w:style w:type="paragraph" w:customStyle="1" w:styleId="QuotedNumPar">
    <w:name w:val="Quoted NumPar"/>
    <w:basedOn w:val="Normale"/>
    <w:pPr>
      <w:spacing w:before="120" w:after="120" w:line="240" w:lineRule="auto"/>
      <w:ind w:left="1417" w:hanging="567"/>
      <w:jc w:val="both"/>
    </w:pPr>
    <w:rPr>
      <w:rFonts w:ascii="Times New Roman" w:hAnsi="Times New Roman"/>
      <w:sz w:val="24"/>
    </w:rPr>
  </w:style>
  <w:style w:type="paragraph" w:customStyle="1" w:styleId="ManualHeading1">
    <w:name w:val="Manual Heading 1"/>
    <w:basedOn w:val="Normale"/>
    <w:next w:val="Text1"/>
    <w:pPr>
      <w:keepNext/>
      <w:tabs>
        <w:tab w:val="left" w:pos="850"/>
      </w:tabs>
      <w:spacing w:before="360" w:after="120" w:line="240" w:lineRule="auto"/>
      <w:ind w:left="850" w:hanging="850"/>
      <w:jc w:val="both"/>
      <w:outlineLvl w:val="0"/>
    </w:pPr>
    <w:rPr>
      <w:rFonts w:ascii="Times New Roman" w:hAnsi="Times New Roman"/>
      <w:b/>
      <w:smallCaps/>
      <w:sz w:val="24"/>
    </w:rPr>
  </w:style>
  <w:style w:type="paragraph" w:customStyle="1" w:styleId="ManualHeading2">
    <w:name w:val="Manual Heading 2"/>
    <w:basedOn w:val="Normale"/>
    <w:next w:val="Text1"/>
    <w:pPr>
      <w:keepNext/>
      <w:tabs>
        <w:tab w:val="left" w:pos="850"/>
      </w:tabs>
      <w:spacing w:before="120" w:after="120" w:line="240" w:lineRule="auto"/>
      <w:ind w:left="850" w:hanging="850"/>
      <w:jc w:val="both"/>
      <w:outlineLvl w:val="1"/>
    </w:pPr>
    <w:rPr>
      <w:rFonts w:ascii="Times New Roman" w:hAnsi="Times New Roman"/>
      <w:b/>
      <w:sz w:val="24"/>
    </w:rPr>
  </w:style>
  <w:style w:type="paragraph" w:customStyle="1" w:styleId="ManualHeading3">
    <w:name w:val="Manual Heading 3"/>
    <w:basedOn w:val="Normale"/>
    <w:next w:val="Text1"/>
    <w:pPr>
      <w:keepNext/>
      <w:tabs>
        <w:tab w:val="left" w:pos="850"/>
      </w:tabs>
      <w:spacing w:before="120" w:after="120" w:line="240" w:lineRule="auto"/>
      <w:ind w:left="850" w:hanging="850"/>
      <w:jc w:val="both"/>
      <w:outlineLvl w:val="2"/>
    </w:pPr>
    <w:rPr>
      <w:rFonts w:ascii="Times New Roman" w:hAnsi="Times New Roman"/>
      <w:i/>
      <w:sz w:val="24"/>
    </w:rPr>
  </w:style>
  <w:style w:type="paragraph" w:customStyle="1" w:styleId="ManualHeading4">
    <w:name w:val="Manual Heading 4"/>
    <w:basedOn w:val="Normale"/>
    <w:next w:val="Text1"/>
    <w:pPr>
      <w:keepNext/>
      <w:tabs>
        <w:tab w:val="left" w:pos="850"/>
      </w:tabs>
      <w:spacing w:before="120" w:after="120" w:line="240" w:lineRule="auto"/>
      <w:ind w:left="850" w:hanging="850"/>
      <w:jc w:val="both"/>
      <w:outlineLvl w:val="3"/>
    </w:pPr>
    <w:rPr>
      <w:rFonts w:ascii="Times New Roman" w:hAnsi="Times New Roman"/>
      <w:sz w:val="24"/>
    </w:rPr>
  </w:style>
  <w:style w:type="paragraph" w:customStyle="1" w:styleId="ChapterTitle">
    <w:name w:val="ChapterTitle"/>
    <w:basedOn w:val="Normale"/>
    <w:next w:val="Normale"/>
    <w:pPr>
      <w:keepNext/>
      <w:spacing w:before="120" w:after="360" w:line="240" w:lineRule="auto"/>
      <w:jc w:val="center"/>
    </w:pPr>
    <w:rPr>
      <w:rFonts w:ascii="Times New Roman" w:hAnsi="Times New Roman"/>
      <w:b/>
      <w:sz w:val="32"/>
    </w:rPr>
  </w:style>
  <w:style w:type="paragraph" w:customStyle="1" w:styleId="PartTitle">
    <w:name w:val="PartTitle"/>
    <w:basedOn w:val="Normale"/>
    <w:next w:val="ChapterTitle"/>
    <w:pPr>
      <w:keepNext/>
      <w:pageBreakBefore/>
      <w:spacing w:before="120" w:after="360" w:line="240" w:lineRule="auto"/>
      <w:jc w:val="center"/>
    </w:pPr>
    <w:rPr>
      <w:rFonts w:ascii="Times New Roman" w:hAnsi="Times New Roman"/>
      <w:b/>
      <w:sz w:val="36"/>
    </w:rPr>
  </w:style>
  <w:style w:type="paragraph" w:customStyle="1" w:styleId="SectionTitle">
    <w:name w:val="SectionTitle"/>
    <w:basedOn w:val="Normale"/>
    <w:next w:val="Titolo1"/>
    <w:pPr>
      <w:keepNext/>
      <w:spacing w:before="120" w:after="360" w:line="240" w:lineRule="auto"/>
      <w:jc w:val="center"/>
    </w:pPr>
    <w:rPr>
      <w:rFonts w:ascii="Times New Roman" w:hAnsi="Times New Roman"/>
      <w:b/>
      <w:smallCaps/>
      <w:sz w:val="28"/>
    </w:rPr>
  </w:style>
  <w:style w:type="paragraph" w:customStyle="1" w:styleId="TableTitle">
    <w:name w:val="Table Title"/>
    <w:basedOn w:val="Normale"/>
    <w:next w:val="Normale"/>
    <w:pPr>
      <w:spacing w:before="120" w:after="120" w:line="240" w:lineRule="auto"/>
      <w:jc w:val="center"/>
    </w:pPr>
    <w:rPr>
      <w:rFonts w:ascii="Times New Roman" w:hAnsi="Times New Roman"/>
      <w:b/>
      <w:sz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e"/>
    <w:pPr>
      <w:numPr>
        <w:numId w:val="9"/>
      </w:numPr>
      <w:spacing w:before="120" w:after="120" w:line="240" w:lineRule="auto"/>
      <w:jc w:val="both"/>
    </w:pPr>
    <w:rPr>
      <w:rFonts w:ascii="Times New Roman" w:hAnsi="Times New Roman"/>
      <w:sz w:val="24"/>
    </w:rPr>
  </w:style>
  <w:style w:type="paragraph" w:customStyle="1" w:styleId="Point1number">
    <w:name w:val="Point 1 (number)"/>
    <w:basedOn w:val="Normale"/>
    <w:pPr>
      <w:numPr>
        <w:ilvl w:val="2"/>
        <w:numId w:val="9"/>
      </w:numPr>
      <w:spacing w:before="120" w:after="120" w:line="240" w:lineRule="auto"/>
      <w:jc w:val="both"/>
    </w:pPr>
    <w:rPr>
      <w:rFonts w:ascii="Times New Roman" w:hAnsi="Times New Roman"/>
      <w:sz w:val="24"/>
    </w:rPr>
  </w:style>
  <w:style w:type="paragraph" w:customStyle="1" w:styleId="Point2number">
    <w:name w:val="Point 2 (number)"/>
    <w:basedOn w:val="Normale"/>
    <w:pPr>
      <w:numPr>
        <w:ilvl w:val="4"/>
        <w:numId w:val="9"/>
      </w:numPr>
      <w:spacing w:before="120" w:after="120" w:line="240" w:lineRule="auto"/>
      <w:jc w:val="both"/>
    </w:pPr>
    <w:rPr>
      <w:rFonts w:ascii="Times New Roman" w:hAnsi="Times New Roman"/>
      <w:sz w:val="24"/>
    </w:rPr>
  </w:style>
  <w:style w:type="paragraph" w:customStyle="1" w:styleId="Point3number">
    <w:name w:val="Point 3 (number)"/>
    <w:basedOn w:val="Normale"/>
    <w:pPr>
      <w:numPr>
        <w:ilvl w:val="6"/>
        <w:numId w:val="9"/>
      </w:numPr>
      <w:spacing w:before="120" w:after="120" w:line="240" w:lineRule="auto"/>
      <w:jc w:val="both"/>
    </w:pPr>
    <w:rPr>
      <w:rFonts w:ascii="Times New Roman" w:hAnsi="Times New Roman"/>
      <w:sz w:val="24"/>
    </w:rPr>
  </w:style>
  <w:style w:type="paragraph" w:customStyle="1" w:styleId="Point0letter">
    <w:name w:val="Point 0 (letter)"/>
    <w:basedOn w:val="Normale"/>
    <w:pPr>
      <w:numPr>
        <w:ilvl w:val="1"/>
        <w:numId w:val="9"/>
      </w:numPr>
      <w:spacing w:before="120" w:after="120" w:line="240" w:lineRule="auto"/>
      <w:jc w:val="both"/>
    </w:pPr>
    <w:rPr>
      <w:rFonts w:ascii="Times New Roman" w:hAnsi="Times New Roman"/>
      <w:sz w:val="24"/>
    </w:rPr>
  </w:style>
  <w:style w:type="paragraph" w:customStyle="1" w:styleId="Point1letter">
    <w:name w:val="Point 1 (letter)"/>
    <w:basedOn w:val="Normale"/>
    <w:pPr>
      <w:spacing w:before="120" w:after="120" w:line="240" w:lineRule="auto"/>
      <w:jc w:val="both"/>
    </w:pPr>
    <w:rPr>
      <w:rFonts w:ascii="Times New Roman" w:hAnsi="Times New Roman"/>
      <w:sz w:val="24"/>
    </w:rPr>
  </w:style>
  <w:style w:type="paragraph" w:customStyle="1" w:styleId="Point2letter">
    <w:name w:val="Point 2 (letter)"/>
    <w:basedOn w:val="Normale"/>
    <w:pPr>
      <w:numPr>
        <w:ilvl w:val="5"/>
        <w:numId w:val="9"/>
      </w:numPr>
      <w:spacing w:before="120" w:after="120" w:line="240" w:lineRule="auto"/>
      <w:jc w:val="both"/>
    </w:pPr>
    <w:rPr>
      <w:rFonts w:ascii="Times New Roman" w:hAnsi="Times New Roman"/>
      <w:sz w:val="24"/>
    </w:rPr>
  </w:style>
  <w:style w:type="paragraph" w:customStyle="1" w:styleId="Point3letter">
    <w:name w:val="Point 3 (letter)"/>
    <w:basedOn w:val="Normale"/>
    <w:pPr>
      <w:numPr>
        <w:ilvl w:val="7"/>
        <w:numId w:val="9"/>
      </w:numPr>
      <w:spacing w:before="120" w:after="120" w:line="240" w:lineRule="auto"/>
      <w:jc w:val="both"/>
    </w:pPr>
    <w:rPr>
      <w:rFonts w:ascii="Times New Roman" w:hAnsi="Times New Roman"/>
      <w:sz w:val="24"/>
    </w:rPr>
  </w:style>
  <w:style w:type="paragraph" w:customStyle="1" w:styleId="Point4letter">
    <w:name w:val="Point 4 (letter)"/>
    <w:basedOn w:val="Normale"/>
    <w:pPr>
      <w:numPr>
        <w:ilvl w:val="8"/>
        <w:numId w:val="9"/>
      </w:numPr>
      <w:spacing w:before="120" w:after="120" w:line="240" w:lineRule="auto"/>
      <w:jc w:val="both"/>
    </w:pPr>
    <w:rPr>
      <w:rFonts w:ascii="Times New Roman" w:hAnsi="Times New Roman"/>
      <w:sz w:val="24"/>
    </w:rPr>
  </w:style>
  <w:style w:type="paragraph" w:customStyle="1" w:styleId="Bullet0">
    <w:name w:val="Bullet 0"/>
    <w:basedOn w:val="Normale"/>
    <w:pPr>
      <w:numPr>
        <w:numId w:val="47"/>
      </w:numPr>
      <w:spacing w:before="120" w:after="120" w:line="240" w:lineRule="auto"/>
      <w:jc w:val="both"/>
    </w:pPr>
    <w:rPr>
      <w:rFonts w:ascii="Times New Roman" w:hAnsi="Times New Roman"/>
      <w:sz w:val="24"/>
    </w:rPr>
  </w:style>
  <w:style w:type="paragraph" w:customStyle="1" w:styleId="Bullet1">
    <w:name w:val="Bullet 1"/>
    <w:basedOn w:val="Normale"/>
    <w:pPr>
      <w:numPr>
        <w:numId w:val="48"/>
      </w:numPr>
      <w:spacing w:before="120" w:after="120" w:line="240" w:lineRule="auto"/>
      <w:jc w:val="both"/>
    </w:pPr>
    <w:rPr>
      <w:rFonts w:ascii="Times New Roman" w:hAnsi="Times New Roman"/>
      <w:sz w:val="24"/>
    </w:rPr>
  </w:style>
  <w:style w:type="paragraph" w:customStyle="1" w:styleId="Bullet2">
    <w:name w:val="Bullet 2"/>
    <w:basedOn w:val="Normale"/>
    <w:pPr>
      <w:numPr>
        <w:numId w:val="49"/>
      </w:numPr>
      <w:spacing w:before="120" w:after="120" w:line="240" w:lineRule="auto"/>
      <w:jc w:val="both"/>
    </w:pPr>
    <w:rPr>
      <w:rFonts w:ascii="Times New Roman" w:hAnsi="Times New Roman"/>
      <w:sz w:val="24"/>
    </w:rPr>
  </w:style>
  <w:style w:type="paragraph" w:customStyle="1" w:styleId="Bullet3">
    <w:name w:val="Bullet 3"/>
    <w:basedOn w:val="Normale"/>
    <w:pPr>
      <w:numPr>
        <w:numId w:val="50"/>
      </w:numPr>
      <w:spacing w:before="120" w:after="120" w:line="240" w:lineRule="auto"/>
      <w:jc w:val="both"/>
    </w:pPr>
    <w:rPr>
      <w:rFonts w:ascii="Times New Roman" w:hAnsi="Times New Roman"/>
      <w:sz w:val="24"/>
    </w:rPr>
  </w:style>
  <w:style w:type="paragraph" w:customStyle="1" w:styleId="Bullet4">
    <w:name w:val="Bullet 4"/>
    <w:basedOn w:val="Normale"/>
    <w:pPr>
      <w:numPr>
        <w:numId w:val="51"/>
      </w:numPr>
      <w:spacing w:before="120" w:after="120" w:line="240" w:lineRule="auto"/>
      <w:jc w:val="both"/>
    </w:pPr>
    <w:rPr>
      <w:rFonts w:ascii="Times New Roman" w:hAnsi="Times New Roman"/>
      <w:sz w:val="24"/>
    </w:rPr>
  </w:style>
  <w:style w:type="paragraph" w:customStyle="1" w:styleId="Langue">
    <w:name w:val="Langue"/>
    <w:basedOn w:val="Normale"/>
    <w:next w:val="Rfrenceinterne"/>
    <w:pPr>
      <w:framePr w:wrap="around" w:vAnchor="page" w:hAnchor="text" w:xAlign="center" w:y="14741"/>
      <w:spacing w:after="600" w:line="240" w:lineRule="auto"/>
      <w:jc w:val="center"/>
    </w:pPr>
    <w:rPr>
      <w:rFonts w:ascii="Times New Roman" w:hAnsi="Times New Roman"/>
      <w:b/>
      <w:caps/>
      <w:sz w:val="24"/>
    </w:rPr>
  </w:style>
  <w:style w:type="paragraph" w:customStyle="1" w:styleId="Nomdelinstitution">
    <w:name w:val="Nom de l'institution"/>
    <w:basedOn w:val="Normale"/>
    <w:next w:val="Emission"/>
    <w:pPr>
      <w:spacing w:after="0" w:line="240" w:lineRule="auto"/>
    </w:pPr>
    <w:rPr>
      <w:rFonts w:ascii="Arial" w:hAnsi="Arial" w:cs="Arial"/>
      <w:sz w:val="24"/>
    </w:rPr>
  </w:style>
  <w:style w:type="paragraph" w:customStyle="1" w:styleId="Emission">
    <w:name w:val="Emission"/>
    <w:basedOn w:val="Normale"/>
    <w:next w:val="Rfrenceinstitutionnelle"/>
    <w:pPr>
      <w:spacing w:after="0" w:line="240" w:lineRule="auto"/>
      <w:ind w:left="5103"/>
    </w:pPr>
    <w:rPr>
      <w:rFonts w:ascii="Times New Roman" w:hAnsi="Times New Roman"/>
      <w:sz w:val="24"/>
    </w:rPr>
  </w:style>
  <w:style w:type="paragraph" w:customStyle="1" w:styleId="Rfrenceinstitutionnelle">
    <w:name w:val="Référence institutionnelle"/>
    <w:basedOn w:val="Normale"/>
    <w:next w:val="Confidentialit"/>
    <w:pPr>
      <w:spacing w:after="240" w:line="240" w:lineRule="auto"/>
      <w:ind w:left="5103"/>
    </w:pPr>
    <w:rPr>
      <w:rFonts w:ascii="Times New Roman" w:hAnsi="Times New Roman"/>
      <w:sz w:val="24"/>
    </w:rPr>
  </w:style>
  <w:style w:type="paragraph" w:customStyle="1" w:styleId="Declassification">
    <w:name w:val="Declassification"/>
    <w:basedOn w:val="Normale"/>
    <w:next w:val="Normale"/>
    <w:pPr>
      <w:spacing w:after="0" w:line="240" w:lineRule="auto"/>
      <w:jc w:val="both"/>
    </w:pPr>
    <w:rPr>
      <w:rFonts w:ascii="Times New Roman" w:hAnsi="Times New Roman"/>
      <w:sz w:val="24"/>
    </w:rPr>
  </w:style>
  <w:style w:type="paragraph" w:customStyle="1" w:styleId="Disclaimer">
    <w:name w:val="Disclaimer"/>
    <w:basedOn w:val="Normal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sz w:val="24"/>
    </w:rPr>
  </w:style>
  <w:style w:type="paragraph" w:customStyle="1" w:styleId="SecurityMarking">
    <w:name w:val="SecurityMarking"/>
    <w:basedOn w:val="Normale"/>
    <w:pPr>
      <w:spacing w:after="0"/>
      <w:ind w:left="5103"/>
    </w:pPr>
    <w:rPr>
      <w:rFonts w:ascii="Times New Roman" w:hAnsi="Times New Roman"/>
      <w:sz w:val="28"/>
    </w:rPr>
  </w:style>
  <w:style w:type="paragraph" w:customStyle="1" w:styleId="DateMarking">
    <w:name w:val="DateMarking"/>
    <w:basedOn w:val="Normale"/>
    <w:pPr>
      <w:spacing w:after="0"/>
      <w:ind w:left="5103"/>
    </w:pPr>
    <w:rPr>
      <w:rFonts w:ascii="Times New Roman" w:hAnsi="Times New Roman"/>
      <w:i/>
      <w:sz w:val="28"/>
    </w:rPr>
  </w:style>
  <w:style w:type="paragraph" w:customStyle="1" w:styleId="ReleasableTo">
    <w:name w:val="ReleasableTo"/>
    <w:basedOn w:val="Normale"/>
    <w:pPr>
      <w:spacing w:after="0"/>
      <w:ind w:left="5103"/>
    </w:pPr>
    <w:rPr>
      <w:rFonts w:ascii="Times New Roman" w:hAnsi="Times New Roman"/>
      <w:i/>
      <w:sz w:val="28"/>
    </w:rPr>
  </w:style>
  <w:style w:type="paragraph" w:customStyle="1" w:styleId="Annexetitreexpos">
    <w:name w:val="Annexe titre (exposé)"/>
    <w:basedOn w:val="Normale"/>
    <w:next w:val="Normale"/>
    <w:pPr>
      <w:spacing w:before="120" w:after="120" w:line="240" w:lineRule="auto"/>
      <w:jc w:val="center"/>
    </w:pPr>
    <w:rPr>
      <w:rFonts w:ascii="Times New Roman" w:hAnsi="Times New Roman"/>
      <w:b/>
      <w:sz w:val="24"/>
      <w:u w:val="single"/>
    </w:rPr>
  </w:style>
  <w:style w:type="paragraph" w:customStyle="1" w:styleId="Annexetitre">
    <w:name w:val="Annexe titre"/>
    <w:basedOn w:val="Normale"/>
    <w:next w:val="Normale"/>
    <w:pPr>
      <w:spacing w:before="120" w:after="120" w:line="240" w:lineRule="auto"/>
      <w:jc w:val="center"/>
    </w:pPr>
    <w:rPr>
      <w:rFonts w:ascii="Times New Roman" w:hAnsi="Times New Roman"/>
      <w:b/>
      <w:sz w:val="24"/>
      <w:u w:val="single"/>
    </w:rPr>
  </w:style>
  <w:style w:type="paragraph" w:customStyle="1" w:styleId="Annexetitrefichefinancire">
    <w:name w:val="Annexe titre (fiche financière)"/>
    <w:basedOn w:val="Normale"/>
    <w:next w:val="Normale"/>
    <w:pPr>
      <w:spacing w:before="120" w:after="120" w:line="240" w:lineRule="auto"/>
      <w:jc w:val="center"/>
    </w:pPr>
    <w:rPr>
      <w:rFonts w:ascii="Times New Roman" w:hAnsi="Times New Roman"/>
      <w:b/>
      <w:sz w:val="24"/>
      <w:u w:val="single"/>
    </w:rPr>
  </w:style>
  <w:style w:type="paragraph" w:customStyle="1" w:styleId="Applicationdirecte">
    <w:name w:val="Application directe"/>
    <w:basedOn w:val="Normale"/>
    <w:next w:val="Fait"/>
    <w:pPr>
      <w:spacing w:before="480" w:after="120" w:line="240" w:lineRule="auto"/>
      <w:jc w:val="both"/>
    </w:pPr>
    <w:rPr>
      <w:rFonts w:ascii="Times New Roman" w:hAnsi="Times New Roman"/>
      <w:sz w:val="24"/>
    </w:rPr>
  </w:style>
  <w:style w:type="paragraph" w:customStyle="1" w:styleId="Avertissementtitre">
    <w:name w:val="Avertissement titre"/>
    <w:basedOn w:val="Normale"/>
    <w:next w:val="Normale"/>
    <w:pPr>
      <w:keepNext/>
      <w:spacing w:before="480" w:after="120" w:line="240" w:lineRule="auto"/>
      <w:jc w:val="both"/>
    </w:pPr>
    <w:rPr>
      <w:rFonts w:ascii="Times New Roman" w:hAnsi="Times New Roman"/>
      <w:sz w:val="24"/>
      <w:u w:val="single"/>
    </w:rPr>
  </w:style>
  <w:style w:type="paragraph" w:customStyle="1" w:styleId="Confidence">
    <w:name w:val="Confidence"/>
    <w:basedOn w:val="Normale"/>
    <w:next w:val="Normale"/>
    <w:pPr>
      <w:spacing w:before="360" w:after="120" w:line="240" w:lineRule="auto"/>
      <w:jc w:val="center"/>
    </w:pPr>
    <w:rPr>
      <w:rFonts w:ascii="Times New Roman" w:hAnsi="Times New Roman"/>
      <w:sz w:val="24"/>
    </w:rPr>
  </w:style>
  <w:style w:type="paragraph" w:customStyle="1" w:styleId="Confidentialit">
    <w:name w:val="Confidentialité"/>
    <w:basedOn w:val="Normale"/>
    <w:next w:val="TypedudocumentPagedecouverture"/>
    <w:pPr>
      <w:spacing w:before="240" w:after="240" w:line="240" w:lineRule="auto"/>
      <w:ind w:left="5103"/>
    </w:pPr>
    <w:rPr>
      <w:rFonts w:ascii="Times New Roman" w:hAnsi="Times New Roman"/>
      <w:i/>
      <w:sz w:val="32"/>
    </w:rPr>
  </w:style>
  <w:style w:type="paragraph" w:customStyle="1" w:styleId="Considrant">
    <w:name w:val="Considérant"/>
    <w:basedOn w:val="Normale"/>
    <w:pPr>
      <w:numPr>
        <w:numId w:val="52"/>
      </w:numPr>
      <w:spacing w:before="120" w:after="120" w:line="240" w:lineRule="auto"/>
      <w:jc w:val="both"/>
    </w:pPr>
    <w:rPr>
      <w:rFonts w:ascii="Times New Roman" w:hAnsi="Times New Roman"/>
      <w:sz w:val="24"/>
    </w:rPr>
  </w:style>
  <w:style w:type="paragraph" w:customStyle="1" w:styleId="Corrigendum">
    <w:name w:val="Corrigendum"/>
    <w:basedOn w:val="Normale"/>
    <w:next w:val="Normale"/>
    <w:pPr>
      <w:spacing w:after="240" w:line="240" w:lineRule="auto"/>
    </w:pPr>
    <w:rPr>
      <w:rFonts w:ascii="Times New Roman" w:hAnsi="Times New Roman"/>
      <w:sz w:val="24"/>
    </w:rPr>
  </w:style>
  <w:style w:type="paragraph" w:customStyle="1" w:styleId="Datedadoption">
    <w:name w:val="Date d'adoption"/>
    <w:basedOn w:val="Normale"/>
    <w:next w:val="IntrtEEE"/>
    <w:pPr>
      <w:spacing w:before="360" w:after="0" w:line="240" w:lineRule="auto"/>
      <w:jc w:val="center"/>
    </w:pPr>
    <w:rPr>
      <w:rFonts w:ascii="Times New Roman" w:hAnsi="Times New Roman"/>
      <w:b/>
      <w:sz w:val="24"/>
    </w:rPr>
  </w:style>
  <w:style w:type="paragraph" w:customStyle="1" w:styleId="Exposdesmotifstitre">
    <w:name w:val="Exposé des motifs titre"/>
    <w:basedOn w:val="Normale"/>
    <w:next w:val="Normale"/>
    <w:pPr>
      <w:spacing w:before="120" w:after="120" w:line="240" w:lineRule="auto"/>
      <w:jc w:val="center"/>
    </w:pPr>
    <w:rPr>
      <w:rFonts w:ascii="Times New Roman" w:hAnsi="Times New Roman"/>
      <w:b/>
      <w:sz w:val="24"/>
      <w:u w:val="single"/>
    </w:rPr>
  </w:style>
  <w:style w:type="paragraph" w:customStyle="1" w:styleId="Fait">
    <w:name w:val="Fait à"/>
    <w:basedOn w:val="Normale"/>
    <w:next w:val="Institutionquisigne"/>
    <w:pPr>
      <w:keepNext/>
      <w:spacing w:before="120" w:after="0" w:line="240" w:lineRule="auto"/>
      <w:jc w:val="both"/>
    </w:pPr>
    <w:rPr>
      <w:rFonts w:ascii="Times New Roman" w:hAnsi="Times New Roman"/>
      <w:sz w:val="24"/>
    </w:rPr>
  </w:style>
  <w:style w:type="paragraph" w:customStyle="1" w:styleId="Formuledadoption">
    <w:name w:val="Formule d'adoption"/>
    <w:basedOn w:val="Normale"/>
    <w:next w:val="Titrearticle"/>
    <w:pPr>
      <w:keepNext/>
      <w:spacing w:before="120" w:after="120" w:line="240" w:lineRule="auto"/>
      <w:jc w:val="both"/>
    </w:pPr>
    <w:rPr>
      <w:rFonts w:ascii="Times New Roman" w:hAnsi="Times New Roman"/>
      <w:sz w:val="24"/>
    </w:rPr>
  </w:style>
  <w:style w:type="paragraph" w:customStyle="1" w:styleId="Institutionquiagit">
    <w:name w:val="Institution qui agit"/>
    <w:basedOn w:val="Normale"/>
    <w:next w:val="Normale"/>
    <w:pPr>
      <w:keepNext/>
      <w:spacing w:before="600" w:after="120" w:line="240" w:lineRule="auto"/>
      <w:jc w:val="both"/>
    </w:pPr>
    <w:rPr>
      <w:rFonts w:ascii="Times New Roman" w:hAnsi="Times New Roman"/>
      <w:sz w:val="24"/>
    </w:rPr>
  </w:style>
  <w:style w:type="paragraph" w:customStyle="1" w:styleId="Institutionquisigne">
    <w:name w:val="Institution qui signe"/>
    <w:basedOn w:val="Normale"/>
    <w:next w:val="Personnequisigne"/>
    <w:pPr>
      <w:keepNext/>
      <w:tabs>
        <w:tab w:val="left" w:pos="4252"/>
      </w:tabs>
      <w:spacing w:before="720" w:after="0" w:line="240" w:lineRule="auto"/>
      <w:jc w:val="both"/>
    </w:pPr>
    <w:rPr>
      <w:rFonts w:ascii="Times New Roman" w:hAnsi="Times New Roman"/>
      <w:i/>
      <w:sz w:val="24"/>
    </w:rPr>
  </w:style>
  <w:style w:type="paragraph" w:customStyle="1" w:styleId="ManualConsidrant">
    <w:name w:val="Manual Considérant"/>
    <w:basedOn w:val="Normale"/>
    <w:pPr>
      <w:spacing w:before="120" w:after="120" w:line="240" w:lineRule="auto"/>
      <w:ind w:left="709" w:hanging="709"/>
      <w:jc w:val="both"/>
    </w:pPr>
    <w:rPr>
      <w:rFonts w:ascii="Times New Roman" w:hAnsi="Times New Roman"/>
      <w:sz w:val="24"/>
    </w:rPr>
  </w:style>
  <w:style w:type="paragraph" w:customStyle="1" w:styleId="Personnequisigne">
    <w:name w:val="Personne qui signe"/>
    <w:basedOn w:val="Normale"/>
    <w:next w:val="Institutionquisigne"/>
    <w:pPr>
      <w:tabs>
        <w:tab w:val="left" w:pos="4252"/>
      </w:tabs>
      <w:spacing w:after="0" w:line="240" w:lineRule="auto"/>
    </w:pPr>
    <w:rPr>
      <w:rFonts w:ascii="Times New Roman" w:hAnsi="Times New Roman"/>
      <w:i/>
      <w:sz w:val="24"/>
    </w:rPr>
  </w:style>
  <w:style w:type="paragraph" w:customStyle="1" w:styleId="Rfrenceinterinstitutionnelle">
    <w:name w:val="Référence interinstitutionnelle"/>
    <w:basedOn w:val="Normale"/>
    <w:next w:val="Statut"/>
    <w:pPr>
      <w:spacing w:after="0" w:line="240" w:lineRule="auto"/>
      <w:ind w:left="5103"/>
    </w:pPr>
    <w:rPr>
      <w:rFonts w:ascii="Times New Roman" w:hAnsi="Times New Roman"/>
      <w:sz w:val="24"/>
    </w:rPr>
  </w:style>
  <w:style w:type="paragraph" w:customStyle="1" w:styleId="Rfrenceinterne">
    <w:name w:val="Référence interne"/>
    <w:basedOn w:val="Normale"/>
    <w:next w:val="Rfrenceinterinstitutionnelle"/>
    <w:pPr>
      <w:spacing w:after="0" w:line="240" w:lineRule="auto"/>
      <w:ind w:left="5103"/>
    </w:pPr>
    <w:rPr>
      <w:rFonts w:ascii="Times New Roman" w:hAnsi="Times New Roman"/>
      <w:sz w:val="24"/>
    </w:rPr>
  </w:style>
  <w:style w:type="paragraph" w:customStyle="1" w:styleId="Statut">
    <w:name w:val="Statut"/>
    <w:basedOn w:val="Normale"/>
    <w:next w:val="Typedudocument"/>
    <w:pPr>
      <w:spacing w:after="240" w:line="240" w:lineRule="auto"/>
      <w:jc w:val="center"/>
    </w:pPr>
    <w:rPr>
      <w:rFonts w:ascii="Times New Roman" w:hAnsi="Times New Roman"/>
      <w:sz w:val="24"/>
    </w:rPr>
  </w:style>
  <w:style w:type="paragraph" w:customStyle="1" w:styleId="Titrearticle">
    <w:name w:val="Titre article"/>
    <w:basedOn w:val="Normale"/>
    <w:next w:val="Normale"/>
    <w:pPr>
      <w:keepNext/>
      <w:spacing w:before="360" w:after="120" w:line="240" w:lineRule="auto"/>
      <w:jc w:val="center"/>
    </w:pPr>
    <w:rPr>
      <w:rFonts w:ascii="Times New Roman" w:hAnsi="Times New Roman"/>
      <w:i/>
      <w:sz w:val="24"/>
    </w:rPr>
  </w:style>
  <w:style w:type="paragraph" w:customStyle="1" w:styleId="Typedudocument">
    <w:name w:val="Type du document"/>
    <w:basedOn w:val="Normale"/>
    <w:next w:val="Accompagnant"/>
    <w:pPr>
      <w:spacing w:before="360" w:after="180" w:line="240" w:lineRule="auto"/>
      <w:jc w:val="center"/>
    </w:pPr>
    <w:rPr>
      <w:rFonts w:ascii="Times New Roman" w:hAnsi="Times New Roman"/>
      <w:b/>
      <w:sz w:val="24"/>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e"/>
    <w:next w:val="Normale"/>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pPr>
      <w:spacing w:before="120" w:after="120" w:line="240" w:lineRule="auto"/>
      <w:jc w:val="both"/>
    </w:pPr>
    <w:rPr>
      <w:rFonts w:ascii="Times New Roman" w:hAnsi="Times New Roman"/>
      <w:i/>
      <w:caps/>
      <w:sz w:val="24"/>
    </w:rPr>
  </w:style>
  <w:style w:type="paragraph" w:customStyle="1" w:styleId="Supertitre">
    <w:name w:val="Supertitre"/>
    <w:basedOn w:val="Normale"/>
    <w:next w:val="Normale"/>
    <w:pPr>
      <w:spacing w:after="600" w:line="240" w:lineRule="auto"/>
      <w:jc w:val="center"/>
    </w:pPr>
    <w:rPr>
      <w:rFonts w:ascii="Times New Roman" w:hAnsi="Times New Roman"/>
      <w:b/>
      <w:sz w:val="24"/>
    </w:rPr>
  </w:style>
  <w:style w:type="paragraph" w:customStyle="1" w:styleId="Languesfaisantfoi">
    <w:name w:val="Langues faisant foi"/>
    <w:basedOn w:val="Normale"/>
    <w:next w:val="Normale"/>
    <w:pPr>
      <w:spacing w:before="360" w:after="0" w:line="240" w:lineRule="auto"/>
      <w:jc w:val="center"/>
    </w:pPr>
    <w:rPr>
      <w:rFonts w:ascii="Times New Roman" w:hAnsi="Times New Roman"/>
      <w:sz w:val="24"/>
    </w:rPr>
  </w:style>
  <w:style w:type="paragraph" w:customStyle="1" w:styleId="Rfrencecroise">
    <w:name w:val="Référence croisée"/>
    <w:basedOn w:val="Normale"/>
    <w:pPr>
      <w:spacing w:after="0" w:line="240" w:lineRule="auto"/>
      <w:jc w:val="center"/>
    </w:pPr>
    <w:rPr>
      <w:rFonts w:ascii="Times New Roman" w:hAnsi="Times New Roman"/>
      <w:sz w:val="24"/>
    </w:rPr>
  </w:style>
  <w:style w:type="paragraph" w:customStyle="1" w:styleId="Fichefinanciretitre">
    <w:name w:val="Fiche financière titre"/>
    <w:basedOn w:val="Normale"/>
    <w:next w:val="Normale"/>
    <w:pPr>
      <w:spacing w:before="120" w:after="120" w:line="240" w:lineRule="auto"/>
      <w:jc w:val="center"/>
    </w:pPr>
    <w:rPr>
      <w:rFonts w:ascii="Times New Roman" w:hAnsi="Times New Roman"/>
      <w:b/>
      <w:sz w:val="24"/>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e"/>
    <w:next w:val="Confidentialit"/>
    <w:pPr>
      <w:spacing w:after="240" w:line="240" w:lineRule="auto"/>
      <w:ind w:left="5103"/>
    </w:pPr>
    <w:rPr>
      <w:rFonts w:ascii="Times New Roman" w:hAnsi="Times New Roman"/>
      <w:sz w:val="24"/>
    </w:rPr>
  </w:style>
  <w:style w:type="paragraph" w:customStyle="1" w:styleId="IntrtEEE">
    <w:name w:val="Intérêt EEE"/>
    <w:basedOn w:val="Languesfaisantfoi"/>
    <w:next w:val="Normale"/>
    <w:pPr>
      <w:spacing w:after="240"/>
    </w:pPr>
  </w:style>
  <w:style w:type="paragraph" w:customStyle="1" w:styleId="Accompagnant">
    <w:name w:val="Accompagnant"/>
    <w:basedOn w:val="Normale"/>
    <w:next w:val="Typeacteprincipal"/>
    <w:pPr>
      <w:spacing w:before="180" w:after="240" w:line="240" w:lineRule="auto"/>
      <w:jc w:val="center"/>
    </w:pPr>
    <w:rPr>
      <w:rFonts w:ascii="Times New Roman" w:hAnsi="Times New Roman"/>
      <w:b/>
      <w:sz w:val="24"/>
    </w:rPr>
  </w:style>
  <w:style w:type="paragraph" w:customStyle="1" w:styleId="Typeacteprincipal">
    <w:name w:val="Type acte principal"/>
    <w:basedOn w:val="Normale"/>
    <w:next w:val="Objetacteprincipal"/>
    <w:pPr>
      <w:spacing w:after="240" w:line="240" w:lineRule="auto"/>
      <w:jc w:val="center"/>
    </w:pPr>
    <w:rPr>
      <w:rFonts w:ascii="Times New Roman" w:hAnsi="Times New Roman"/>
      <w:b/>
      <w:sz w:val="24"/>
    </w:rPr>
  </w:style>
  <w:style w:type="paragraph" w:customStyle="1" w:styleId="Objetacteprincipal">
    <w:name w:val="Objet acte principal"/>
    <w:basedOn w:val="Normale"/>
    <w:next w:val="Titrearticle"/>
    <w:pPr>
      <w:spacing w:after="360" w:line="240" w:lineRule="auto"/>
      <w:jc w:val="center"/>
    </w:pPr>
    <w:rPr>
      <w:rFonts w:ascii="Times New Roman" w:hAnsi="Times New Roman"/>
      <w:b/>
      <w:sz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e"/>
    <w:next w:val="Normale"/>
    <w:pPr>
      <w:spacing w:before="360" w:after="0" w:line="240" w:lineRule="auto"/>
      <w:jc w:val="center"/>
    </w:pPr>
    <w:rPr>
      <w:rFonts w:ascii="Times New Roman" w:hAnsi="Times New Roman"/>
      <w:sz w:val="24"/>
    </w:rPr>
  </w:style>
  <w:style w:type="paragraph" w:styleId="Nessunaspaziatura">
    <w:name w:val="No Spacing"/>
    <w:link w:val="NessunaspaziaturaCarattere"/>
    <w:uiPriority w:val="1"/>
    <w:qFormat/>
    <w:rsid w:val="002760D6"/>
    <w:rPr>
      <w:rFonts w:eastAsia="Times New Roman"/>
      <w:sz w:val="22"/>
      <w:szCs w:val="22"/>
    </w:rPr>
  </w:style>
  <w:style w:type="character" w:customStyle="1" w:styleId="NessunaspaziaturaCarattere">
    <w:name w:val="Nessuna spaziatura Carattere"/>
    <w:link w:val="Nessunaspaziatura"/>
    <w:uiPriority w:val="1"/>
    <w:rsid w:val="002760D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16744">
      <w:bodyDiv w:val="1"/>
      <w:marLeft w:val="0"/>
      <w:marRight w:val="0"/>
      <w:marTop w:val="0"/>
      <w:marBottom w:val="0"/>
      <w:divBdr>
        <w:top w:val="none" w:sz="0" w:space="0" w:color="auto"/>
        <w:left w:val="none" w:sz="0" w:space="0" w:color="auto"/>
        <w:bottom w:val="none" w:sz="0" w:space="0" w:color="auto"/>
        <w:right w:val="none" w:sz="0" w:space="0" w:color="auto"/>
      </w:divBdr>
    </w:div>
    <w:div w:id="19116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B9542E26929941B70742A038180B6E" ma:contentTypeVersion="6" ma:contentTypeDescription="Creare un nuovo documento." ma:contentTypeScope="" ma:versionID="c716ba70b3ec6ac6b02bdb36acd26ad1">
  <xsd:schema xmlns:xsd="http://www.w3.org/2001/XMLSchema" xmlns:xs="http://www.w3.org/2001/XMLSchema" xmlns:p="http://schemas.microsoft.com/office/2006/metadata/properties" xmlns:ns2="ebd9686f-f274-49bc-a2b8-7fcd6aa59f21" xmlns:ns3="5813d484-88e3-4892-89ac-1ed1e500086e" targetNamespace="http://schemas.microsoft.com/office/2006/metadata/properties" ma:root="true" ma:fieldsID="f840e4031b759f0ea9e97d006daa26f5" ns2:_="" ns3:_="">
    <xsd:import namespace="ebd9686f-f274-49bc-a2b8-7fcd6aa59f21"/>
    <xsd:import namespace="5813d484-88e3-4892-89ac-1ed1e50008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9686f-f274-49bc-a2b8-7fcd6aa59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3d484-88e3-4892-89ac-1ed1e500086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7510A-9566-492E-825C-EEAE7CE25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9686f-f274-49bc-a2b8-7fcd6aa59f21"/>
    <ds:schemaRef ds:uri="5813d484-88e3-4892-89ac-1ed1e5000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5B032-C7C9-45BD-BD38-8A1E02C503F7}">
  <ds:schemaRefs>
    <ds:schemaRef ds:uri="http://schemas.microsoft.com/sharepoint/v3/contenttype/forms"/>
  </ds:schemaRefs>
</ds:datastoreItem>
</file>

<file path=customXml/itemProps3.xml><?xml version="1.0" encoding="utf-8"?>
<ds:datastoreItem xmlns:ds="http://schemas.openxmlformats.org/officeDocument/2006/customXml" ds:itemID="{70C54DDF-792E-4639-BDED-70D422C7C117}">
  <ds:schemaRefs>
    <ds:schemaRef ds:uri="http://schemas.openxmlformats.org/officeDocument/2006/bibliography"/>
  </ds:schemaRefs>
</ds:datastoreItem>
</file>

<file path=customXml/itemProps4.xml><?xml version="1.0" encoding="utf-8"?>
<ds:datastoreItem xmlns:ds="http://schemas.openxmlformats.org/officeDocument/2006/customXml" ds:itemID="{1F593F7A-E890-4EBD-8B85-12F55142E3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6102</Words>
  <Characters>34788</Characters>
  <Application>Microsoft Office Word</Application>
  <DocSecurity>0</DocSecurity>
  <Lines>289</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Standard Contractual Clauses for the trasfer of personaldata to third countries pursuant</vt:lpstr>
      <vt:lpstr/>
    </vt:vector>
  </TitlesOfParts>
  <Company/>
  <LinksUpToDate>false</LinksUpToDate>
  <CharactersWithSpaces>40809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Contractual Clauses for the trasfer of personaldata to third countries pursuant</dc:title>
  <dc:subject/>
  <dc:creator/>
  <cp:keywords/>
  <dc:description/>
  <cp:lastModifiedBy/>
  <cp:revision>1</cp:revision>
  <dcterms:created xsi:type="dcterms:W3CDTF">2023-04-14T08:25:00Z</dcterms:created>
  <dcterms:modified xsi:type="dcterms:W3CDTF">2023-04-14T08:25:00Z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ies>
</file>